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1B82" w14:textId="278BF3AB" w:rsidR="000A7531" w:rsidRPr="00E36891" w:rsidRDefault="000A7531" w:rsidP="000A7531">
      <w:pPr>
        <w:pStyle w:val="Covertitle"/>
        <w:rPr>
          <w:rFonts w:cs="Segoe UI"/>
          <w:b/>
          <w:color w:val="FFFFFF" w:themeColor="background1"/>
          <w:sz w:val="64"/>
          <w:szCs w:val="64"/>
        </w:rPr>
      </w:pPr>
      <w:bookmarkStart w:id="0" w:name="_Hlk37147267"/>
      <w:bookmarkEnd w:id="0"/>
      <w:r>
        <w:rPr>
          <w:noProof/>
        </w:rPr>
        <w:drawing>
          <wp:anchor distT="0" distB="0" distL="114300" distR="114300" simplePos="0" relativeHeight="251658240" behindDoc="1" locked="0" layoutInCell="1" allowOverlap="1" wp14:anchorId="21BF928D" wp14:editId="6B4563C3">
            <wp:simplePos x="0" y="0"/>
            <wp:positionH relativeFrom="column">
              <wp:posOffset>-986922</wp:posOffset>
            </wp:positionH>
            <wp:positionV relativeFrom="paragraph">
              <wp:posOffset>-3060700</wp:posOffset>
            </wp:positionV>
            <wp:extent cx="7546602" cy="106747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png"/>
                    <pic:cNvPicPr/>
                  </pic:nvPicPr>
                  <pic:blipFill>
                    <a:blip r:embed="rId12">
                      <a:extLst>
                        <a:ext uri="{28A0092B-C50C-407E-A947-70E740481C1C}">
                          <a14:useLocalDpi xmlns:a14="http://schemas.microsoft.com/office/drawing/2010/main" val="0"/>
                        </a:ext>
                      </a:extLst>
                    </a:blip>
                    <a:stretch>
                      <a:fillRect/>
                    </a:stretch>
                  </pic:blipFill>
                  <pic:spPr>
                    <a:xfrm>
                      <a:off x="0" y="0"/>
                      <a:ext cx="7546602" cy="10674792"/>
                    </a:xfrm>
                    <a:prstGeom prst="rect">
                      <a:avLst/>
                    </a:prstGeom>
                  </pic:spPr>
                </pic:pic>
              </a:graphicData>
            </a:graphic>
            <wp14:sizeRelH relativeFrom="page">
              <wp14:pctWidth>0</wp14:pctWidth>
            </wp14:sizeRelH>
            <wp14:sizeRelV relativeFrom="page">
              <wp14:pctHeight>0</wp14:pctHeight>
            </wp14:sizeRelV>
          </wp:anchor>
        </w:drawing>
      </w:r>
      <w:bookmarkStart w:id="1" w:name="_Ref502845333"/>
      <w:bookmarkEnd w:id="1"/>
      <w:sdt>
        <w:sdtPr>
          <w:rPr>
            <w:rFonts w:cs="Segoe UI"/>
            <w:b/>
            <w:color w:val="FFFFFF" w:themeColor="background1"/>
            <w:sz w:val="64"/>
            <w:szCs w:val="64"/>
          </w:rPr>
          <w:id w:val="-4032980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42583531"/>
              <w:dataBinding w:prefixMappings="xmlns:ns0='http://purl.org/dc/elements/1.1/' xmlns:ns1='http://schemas.openxmlformats.org/package/2006/metadata/core-properties' " w:xpath="/ns1:coreProperties[1]/ns0:title[1]" w:storeItemID="{6C3C8BC8-F283-45AE-878A-BAB7291924A1}"/>
              <w:text/>
            </w:sdtPr>
            <w:sdtEndPr/>
            <w:sdtContent>
              <w:r w:rsidR="001814EB" w:rsidRPr="0053498A">
                <w:rPr>
                  <w:rFonts w:cs="Segoe UI"/>
                  <w:b/>
                  <w:color w:val="FFFFFF" w:themeColor="background1"/>
                  <w:sz w:val="64"/>
                  <w:szCs w:val="64"/>
                </w:rPr>
                <w:t xml:space="preserve">Review of Performance as a Native Title Service Provider: </w:t>
              </w:r>
              <w:r w:rsidR="001814EB">
                <w:rPr>
                  <w:rFonts w:cs="Segoe UI"/>
                  <w:b/>
                  <w:color w:val="FFFFFF" w:themeColor="background1"/>
                  <w:sz w:val="64"/>
                  <w:szCs w:val="64"/>
                </w:rPr>
                <w:t>Cape York Land Council</w:t>
              </w:r>
            </w:sdtContent>
          </w:sdt>
        </w:sdtContent>
      </w:sdt>
    </w:p>
    <w:p w14:paraId="6215FE9A" w14:textId="03133A8E" w:rsidR="000A7531" w:rsidRDefault="00C55B7B" w:rsidP="000A7531">
      <w:pPr>
        <w:pStyle w:val="CoverPage-Client"/>
        <w:spacing w:before="360"/>
        <w:rPr>
          <w:rStyle w:val="CoverPage-ClientChar"/>
          <w:rFonts w:cs="Segoe UI"/>
          <w:color w:val="F8981D" w:themeColor="accent3"/>
        </w:rPr>
      </w:pPr>
      <w:sdt>
        <w:sdtPr>
          <w:rPr>
            <w:rStyle w:val="CoverPage-ClientChar"/>
            <w:rFonts w:cs="Segoe UI"/>
            <w:color w:val="F8981D" w:themeColor="accent3"/>
          </w:rPr>
          <w:alias w:val="Subject"/>
          <w:tag w:val=""/>
          <w:id w:val="1921753657"/>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0947BF">
            <w:rPr>
              <w:rStyle w:val="CoverPage-ClientChar"/>
              <w:rFonts w:cs="Segoe UI"/>
              <w:color w:val="F8981D" w:themeColor="accent3"/>
            </w:rPr>
            <w:t>Summary Report</w:t>
          </w:r>
        </w:sdtContent>
      </w:sdt>
    </w:p>
    <w:p w14:paraId="0DFF99E5" w14:textId="5638ACD8" w:rsidR="000A7531" w:rsidRPr="00D37B9B" w:rsidRDefault="004D657E" w:rsidP="00D37B9B">
      <w:pPr>
        <w:pStyle w:val="CoverPage-Client"/>
        <w:spacing w:before="360"/>
        <w:rPr>
          <w:rFonts w:cs="Segoe UI"/>
          <w:color w:val="FFFFFF" w:themeColor="background1"/>
          <w:sz w:val="22"/>
          <w:szCs w:val="12"/>
        </w:rPr>
        <w:sectPr w:rsidR="000A7531" w:rsidRPr="00D37B9B" w:rsidSect="000A753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r>
        <w:rPr>
          <w:rStyle w:val="CoverPage-ClientChar"/>
          <w:rFonts w:cs="Segoe UI"/>
          <w:color w:val="FFFFFF" w:themeColor="background1"/>
          <w:sz w:val="22"/>
          <w:szCs w:val="12"/>
        </w:rPr>
        <w:t>March 2021</w:t>
      </w:r>
    </w:p>
    <w:sdt>
      <w:sdtPr>
        <w:id w:val="-422653185"/>
        <w:docPartObj>
          <w:docPartGallery w:val="Table of Contents"/>
          <w:docPartUnique/>
        </w:docPartObj>
      </w:sdtPr>
      <w:sdtEndPr>
        <w:rPr>
          <w:b/>
          <w:bCs/>
          <w:noProof/>
        </w:rPr>
      </w:sdtEndPr>
      <w:sdtContent>
        <w:p w14:paraId="1B882AF0" w14:textId="10E34EC2" w:rsidR="00AA5FFB" w:rsidRDefault="00AA5FFB" w:rsidP="00AA5FFB"/>
        <w:p w14:paraId="51E3E758" w14:textId="77777777" w:rsidR="00AA5FFB" w:rsidRDefault="00AA5FFB" w:rsidP="00AA5FFB"/>
        <w:p w14:paraId="2F2EF09D" w14:textId="77777777" w:rsidR="00AA5FFB" w:rsidRDefault="00AA5FFB" w:rsidP="00AA5FFB"/>
        <w:p w14:paraId="36D1821D" w14:textId="77777777" w:rsidR="00AA5FFB" w:rsidRDefault="00AA5FFB" w:rsidP="00AA5FFB"/>
        <w:p w14:paraId="1E796C87" w14:textId="77777777" w:rsidR="00AA5FFB" w:rsidRDefault="00AA5FFB" w:rsidP="00AA5FFB"/>
        <w:p w14:paraId="3345304A" w14:textId="77777777" w:rsidR="00AA5FFB" w:rsidRDefault="00AA5FFB" w:rsidP="00AA5FFB"/>
        <w:p w14:paraId="005A5809" w14:textId="77777777" w:rsidR="00AA5FFB" w:rsidRDefault="00AA5FFB" w:rsidP="00AA5FFB"/>
        <w:p w14:paraId="24EFF9E2" w14:textId="77777777" w:rsidR="00AA5FFB" w:rsidRDefault="00AA5FFB" w:rsidP="00AA5FFB"/>
        <w:p w14:paraId="255217D0" w14:textId="77777777" w:rsidR="00AA5FFB" w:rsidRDefault="00AA5FFB" w:rsidP="00AA5FFB"/>
        <w:p w14:paraId="59685E14" w14:textId="77777777" w:rsidR="00AA5FFB" w:rsidRDefault="00AA5FFB" w:rsidP="00AA5FFB"/>
        <w:p w14:paraId="13EE051A" w14:textId="77777777" w:rsidR="00AA5FFB" w:rsidRDefault="00AA5FFB" w:rsidP="00AA5FFB">
          <w:pPr>
            <w:rPr>
              <w:i/>
            </w:rPr>
          </w:pPr>
        </w:p>
        <w:p w14:paraId="2D467623" w14:textId="77777777" w:rsidR="00AA5FFB" w:rsidRDefault="00AA5FFB" w:rsidP="00AA5FFB">
          <w:pPr>
            <w:rPr>
              <w:i/>
            </w:rPr>
          </w:pPr>
        </w:p>
        <w:p w14:paraId="032EDF55" w14:textId="77777777" w:rsidR="00AA5FFB" w:rsidRDefault="00AA5FFB" w:rsidP="00AA5FFB">
          <w:pPr>
            <w:rPr>
              <w:i/>
            </w:rPr>
          </w:pPr>
        </w:p>
        <w:p w14:paraId="383A5F59" w14:textId="77777777" w:rsidR="00AA5FFB" w:rsidRDefault="00AA5FFB" w:rsidP="00AA5FFB">
          <w:pPr>
            <w:rPr>
              <w:i/>
            </w:rPr>
          </w:pPr>
        </w:p>
        <w:p w14:paraId="3268BE44" w14:textId="77777777" w:rsidR="00AA5FFB" w:rsidRDefault="00AA5FFB" w:rsidP="00AA5FFB">
          <w:pPr>
            <w:rPr>
              <w:i/>
            </w:rPr>
          </w:pPr>
        </w:p>
        <w:p w14:paraId="7757F484" w14:textId="77777777" w:rsidR="00AA5FFB" w:rsidRDefault="00AA5FFB" w:rsidP="00AA5FFB">
          <w:pPr>
            <w:rPr>
              <w:i/>
            </w:rPr>
          </w:pPr>
        </w:p>
        <w:p w14:paraId="044C668A" w14:textId="77777777" w:rsidR="00AA5FFB" w:rsidRDefault="00AA5FFB" w:rsidP="00AA5FFB">
          <w:pPr>
            <w:rPr>
              <w:i/>
            </w:rPr>
          </w:pPr>
        </w:p>
        <w:p w14:paraId="020675E8" w14:textId="77777777" w:rsidR="00AA5FFB" w:rsidRDefault="00AA5FFB" w:rsidP="00AA5FFB">
          <w:pPr>
            <w:rPr>
              <w:i/>
            </w:rPr>
          </w:pPr>
        </w:p>
        <w:p w14:paraId="4CE5FA7B" w14:textId="77777777" w:rsidR="00AA5FFB" w:rsidRDefault="00AA5FFB" w:rsidP="00AA5FFB">
          <w:pPr>
            <w:rPr>
              <w:i/>
            </w:rPr>
          </w:pPr>
        </w:p>
        <w:p w14:paraId="2DC7192D" w14:textId="77777777" w:rsidR="00AA5FFB" w:rsidRDefault="00AA5FFB" w:rsidP="00AA5FFB">
          <w:pPr>
            <w:rPr>
              <w:i/>
            </w:rPr>
          </w:pPr>
        </w:p>
        <w:p w14:paraId="4A1DB1AF" w14:textId="77777777" w:rsidR="00AA5FFB" w:rsidRDefault="00AA5FFB" w:rsidP="00AA5FFB">
          <w:pPr>
            <w:rPr>
              <w:i/>
            </w:rPr>
          </w:pPr>
        </w:p>
        <w:p w14:paraId="70365459" w14:textId="77777777" w:rsidR="00AA5FFB" w:rsidRDefault="00AA5FFB" w:rsidP="00AA5FFB">
          <w:pPr>
            <w:rPr>
              <w:i/>
            </w:rPr>
          </w:pPr>
        </w:p>
        <w:p w14:paraId="6F4EC900" w14:textId="77777777" w:rsidR="00AA5FFB" w:rsidRDefault="00AA5FFB" w:rsidP="00AA5FFB">
          <w:pPr>
            <w:rPr>
              <w:i/>
            </w:rPr>
          </w:pPr>
        </w:p>
        <w:p w14:paraId="3C81E9C7" w14:textId="77777777" w:rsidR="00AA5FFB" w:rsidRDefault="00AA5FFB" w:rsidP="00AA5FFB">
          <w:pPr>
            <w:rPr>
              <w:i/>
            </w:rPr>
          </w:pPr>
        </w:p>
        <w:p w14:paraId="5EF25CF8" w14:textId="77777777" w:rsidR="00AA5FFB" w:rsidRDefault="00AA5FFB" w:rsidP="00AA5FFB">
          <w:pPr>
            <w:rPr>
              <w:i/>
            </w:rPr>
          </w:pPr>
        </w:p>
        <w:p w14:paraId="12E58298" w14:textId="77777777" w:rsidR="00AA5FFB" w:rsidRDefault="00AA5FFB" w:rsidP="00AA5FFB">
          <w:pPr>
            <w:rPr>
              <w:i/>
            </w:rPr>
          </w:pPr>
        </w:p>
        <w:p w14:paraId="006AE14E" w14:textId="77777777" w:rsidR="00AA5FFB" w:rsidRPr="00D55E77" w:rsidRDefault="00AA5FFB" w:rsidP="00AA5FFB">
          <w:pPr>
            <w:rPr>
              <w:i/>
            </w:rPr>
          </w:pPr>
        </w:p>
        <w:p w14:paraId="0D4EBA73" w14:textId="77777777" w:rsidR="00F64BB4" w:rsidRPr="00D55E77" w:rsidRDefault="00F64BB4" w:rsidP="00F64BB4">
          <w:pPr>
            <w:rPr>
              <w:b/>
              <w:i/>
            </w:rPr>
          </w:pPr>
          <w:bookmarkStart w:id="2" w:name="_Hlk39652402"/>
          <w:r w:rsidRPr="00D55E77">
            <w:rPr>
              <w:b/>
              <w:i/>
            </w:rPr>
            <w:t xml:space="preserve">Disclaimer: </w:t>
          </w:r>
        </w:p>
        <w:p w14:paraId="205396FC" w14:textId="4C737727" w:rsidR="00F64BB4" w:rsidRDefault="00F64BB4" w:rsidP="00F64BB4">
          <w:pPr>
            <w:rPr>
              <w:i/>
            </w:rPr>
          </w:pPr>
          <w:r w:rsidRPr="00D55E77">
            <w:rPr>
              <w:i/>
            </w:rPr>
            <w:t>Nous Group (</w:t>
          </w:r>
          <w:r w:rsidRPr="008461BE">
            <w:rPr>
              <w:b/>
              <w:i/>
            </w:rPr>
            <w:t>Nous</w:t>
          </w:r>
          <w:r w:rsidRPr="00D55E77">
            <w:rPr>
              <w:i/>
            </w:rPr>
            <w:t>) has prepared this report for the benefit of</w:t>
          </w:r>
          <w:r>
            <w:rPr>
              <w:i/>
            </w:rPr>
            <w:t xml:space="preserve"> </w:t>
          </w:r>
          <w:r w:rsidRPr="008B1C39">
            <w:rPr>
              <w:i/>
            </w:rPr>
            <w:t>the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41D406C8" w14:textId="77777777" w:rsidR="00F64BB4" w:rsidRDefault="00F64BB4" w:rsidP="00F64BB4">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65D59D3" w14:textId="2C6F3EC7" w:rsidR="00AA5FFB" w:rsidRDefault="00F64BB4" w:rsidP="00F64BB4">
          <w:pPr>
            <w:rPr>
              <w:i/>
            </w:rPr>
          </w:pPr>
          <w:r>
            <w:rPr>
              <w:i/>
            </w:rPr>
            <w:t xml:space="preserve">This </w:t>
          </w:r>
          <w:r w:rsidR="00A34C39">
            <w:rPr>
              <w:i/>
            </w:rPr>
            <w:t>R</w:t>
          </w:r>
          <w:r>
            <w:rPr>
              <w:i/>
            </w:rPr>
            <w:t xml:space="preserve">eview covered the period from </w:t>
          </w:r>
          <w:r w:rsidRPr="00DB1DB1">
            <w:rPr>
              <w:i/>
            </w:rPr>
            <w:t>July 201</w:t>
          </w:r>
          <w:r w:rsidR="00FE3C14">
            <w:rPr>
              <w:i/>
            </w:rPr>
            <w:t>5</w:t>
          </w:r>
          <w:r w:rsidRPr="00DB1DB1">
            <w:rPr>
              <w:i/>
            </w:rPr>
            <w:t xml:space="preserve"> to June 201</w:t>
          </w:r>
          <w:r w:rsidR="00FE3C14">
            <w:rPr>
              <w:i/>
            </w:rPr>
            <w:t>8</w:t>
          </w:r>
          <w:r>
            <w:rPr>
              <w:i/>
            </w:rPr>
            <w:t xml:space="preserve">. Findings relate to this time period unless otherwise stated. Nous conducted the </w:t>
          </w:r>
          <w:r w:rsidR="00A34C39">
            <w:rPr>
              <w:i/>
            </w:rPr>
            <w:t>R</w:t>
          </w:r>
          <w:r>
            <w:rPr>
              <w:i/>
            </w:rPr>
            <w:t xml:space="preserve">eview between </w:t>
          </w:r>
          <w:r w:rsidR="00FE3C14">
            <w:rPr>
              <w:i/>
            </w:rPr>
            <w:t>September 2018 and April 2019.</w:t>
          </w:r>
          <w:r w:rsidR="00A34C39">
            <w:rPr>
              <w:i/>
            </w:rPr>
            <w:t xml:space="preserve"> This summary document was prepared in 2020 and includes responses to recommendations by the NTRB-SP in 2020.</w:t>
          </w:r>
        </w:p>
        <w:bookmarkEnd w:id="2"/>
        <w:p w14:paraId="2B7211A7" w14:textId="2E7C6C8E" w:rsidR="000A7531" w:rsidRPr="000A7531" w:rsidRDefault="000A7531" w:rsidP="00AA5FFB">
          <w:pPr>
            <w:rPr>
              <w:rFonts w:ascii="Segoe UI Semibold" w:hAnsi="Segoe UI Semibold"/>
              <w:color w:val="00264D" w:themeColor="background2"/>
              <w:sz w:val="36"/>
              <w:szCs w:val="36"/>
            </w:rPr>
          </w:pPr>
          <w:r w:rsidRPr="00C846A6">
            <w:rPr>
              <w:rFonts w:ascii="Segoe UI Semibold" w:hAnsi="Segoe UI Semibold"/>
              <w:color w:val="00264D" w:themeColor="background2"/>
              <w:sz w:val="36"/>
              <w:szCs w:val="36"/>
            </w:rPr>
            <w:lastRenderedPageBreak/>
            <w:t>Contents</w:t>
          </w:r>
        </w:p>
        <w:p w14:paraId="0EA54D8F" w14:textId="165F41D3" w:rsidR="00A142B7" w:rsidRDefault="000A7531">
          <w:pPr>
            <w:pStyle w:val="TOC1"/>
            <w:tabs>
              <w:tab w:val="left" w:pos="380"/>
              <w:tab w:val="right" w:leader="dot" w:pos="8920"/>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68070977" w:history="1">
            <w:r w:rsidR="00A142B7" w:rsidRPr="002A4A9C">
              <w:rPr>
                <w:rStyle w:val="Hyperlink"/>
                <w:noProof/>
              </w:rPr>
              <w:t>1</w:t>
            </w:r>
            <w:r w:rsidR="00A142B7">
              <w:rPr>
                <w:rFonts w:asciiTheme="minorHAnsi" w:eastAsiaTheme="minorEastAsia" w:hAnsiTheme="minorHAnsi"/>
                <w:noProof/>
                <w:sz w:val="22"/>
                <w:lang w:eastAsia="en-AU"/>
              </w:rPr>
              <w:tab/>
            </w:r>
            <w:r w:rsidR="00A142B7" w:rsidRPr="002A4A9C">
              <w:rPr>
                <w:rStyle w:val="Hyperlink"/>
                <w:noProof/>
              </w:rPr>
              <w:t>About the Review</w:t>
            </w:r>
            <w:r w:rsidR="00A142B7">
              <w:rPr>
                <w:noProof/>
                <w:webHidden/>
              </w:rPr>
              <w:tab/>
            </w:r>
            <w:r w:rsidR="00A142B7">
              <w:rPr>
                <w:noProof/>
                <w:webHidden/>
              </w:rPr>
              <w:fldChar w:fldCharType="begin"/>
            </w:r>
            <w:r w:rsidR="00A142B7">
              <w:rPr>
                <w:noProof/>
                <w:webHidden/>
              </w:rPr>
              <w:instrText xml:space="preserve"> PAGEREF _Toc68070977 \h </w:instrText>
            </w:r>
            <w:r w:rsidR="00A142B7">
              <w:rPr>
                <w:noProof/>
                <w:webHidden/>
              </w:rPr>
            </w:r>
            <w:r w:rsidR="00A142B7">
              <w:rPr>
                <w:noProof/>
                <w:webHidden/>
              </w:rPr>
              <w:fldChar w:fldCharType="separate"/>
            </w:r>
            <w:r w:rsidR="00A142B7">
              <w:rPr>
                <w:noProof/>
                <w:webHidden/>
              </w:rPr>
              <w:t>3</w:t>
            </w:r>
            <w:r w:rsidR="00A142B7">
              <w:rPr>
                <w:noProof/>
                <w:webHidden/>
              </w:rPr>
              <w:fldChar w:fldCharType="end"/>
            </w:r>
          </w:hyperlink>
        </w:p>
        <w:p w14:paraId="769D261C" w14:textId="06FF9350" w:rsidR="00A142B7" w:rsidRDefault="00C55B7B">
          <w:pPr>
            <w:pStyle w:val="TOC1"/>
            <w:tabs>
              <w:tab w:val="left" w:pos="380"/>
              <w:tab w:val="right" w:leader="dot" w:pos="8920"/>
            </w:tabs>
            <w:rPr>
              <w:rFonts w:asciiTheme="minorHAnsi" w:eastAsiaTheme="minorEastAsia" w:hAnsiTheme="minorHAnsi"/>
              <w:noProof/>
              <w:sz w:val="22"/>
              <w:lang w:eastAsia="en-AU"/>
            </w:rPr>
          </w:pPr>
          <w:hyperlink w:anchor="_Toc68070978" w:history="1">
            <w:r w:rsidR="00A142B7" w:rsidRPr="002A4A9C">
              <w:rPr>
                <w:rStyle w:val="Hyperlink"/>
                <w:noProof/>
              </w:rPr>
              <w:t>2</w:t>
            </w:r>
            <w:r w:rsidR="00A142B7">
              <w:rPr>
                <w:rFonts w:asciiTheme="minorHAnsi" w:eastAsiaTheme="minorEastAsia" w:hAnsiTheme="minorHAnsi"/>
                <w:noProof/>
                <w:sz w:val="22"/>
                <w:lang w:eastAsia="en-AU"/>
              </w:rPr>
              <w:tab/>
            </w:r>
            <w:r w:rsidR="00A142B7" w:rsidRPr="002A4A9C">
              <w:rPr>
                <w:rStyle w:val="Hyperlink"/>
                <w:noProof/>
              </w:rPr>
              <w:t>Profile of CYLC at a glance</w:t>
            </w:r>
            <w:r w:rsidR="00A142B7">
              <w:rPr>
                <w:noProof/>
                <w:webHidden/>
              </w:rPr>
              <w:tab/>
            </w:r>
            <w:r w:rsidR="00A142B7">
              <w:rPr>
                <w:noProof/>
                <w:webHidden/>
              </w:rPr>
              <w:fldChar w:fldCharType="begin"/>
            </w:r>
            <w:r w:rsidR="00A142B7">
              <w:rPr>
                <w:noProof/>
                <w:webHidden/>
              </w:rPr>
              <w:instrText xml:space="preserve"> PAGEREF _Toc68070978 \h </w:instrText>
            </w:r>
            <w:r w:rsidR="00A142B7">
              <w:rPr>
                <w:noProof/>
                <w:webHidden/>
              </w:rPr>
            </w:r>
            <w:r w:rsidR="00A142B7">
              <w:rPr>
                <w:noProof/>
                <w:webHidden/>
              </w:rPr>
              <w:fldChar w:fldCharType="separate"/>
            </w:r>
            <w:r w:rsidR="00A142B7">
              <w:rPr>
                <w:noProof/>
                <w:webHidden/>
              </w:rPr>
              <w:t>4</w:t>
            </w:r>
            <w:r w:rsidR="00A142B7">
              <w:rPr>
                <w:noProof/>
                <w:webHidden/>
              </w:rPr>
              <w:fldChar w:fldCharType="end"/>
            </w:r>
          </w:hyperlink>
        </w:p>
        <w:p w14:paraId="05CC0519" w14:textId="3F3E3DFD" w:rsidR="00A142B7" w:rsidRDefault="00C55B7B">
          <w:pPr>
            <w:pStyle w:val="TOC1"/>
            <w:tabs>
              <w:tab w:val="left" w:pos="380"/>
              <w:tab w:val="right" w:leader="dot" w:pos="8920"/>
            </w:tabs>
            <w:rPr>
              <w:rFonts w:asciiTheme="minorHAnsi" w:eastAsiaTheme="minorEastAsia" w:hAnsiTheme="minorHAnsi"/>
              <w:noProof/>
              <w:sz w:val="22"/>
              <w:lang w:eastAsia="en-AU"/>
            </w:rPr>
          </w:pPr>
          <w:hyperlink w:anchor="_Toc68070979" w:history="1">
            <w:r w:rsidR="00A142B7" w:rsidRPr="002A4A9C">
              <w:rPr>
                <w:rStyle w:val="Hyperlink"/>
                <w:noProof/>
              </w:rPr>
              <w:t>3</w:t>
            </w:r>
            <w:r w:rsidR="00A142B7">
              <w:rPr>
                <w:rFonts w:asciiTheme="minorHAnsi" w:eastAsiaTheme="minorEastAsia" w:hAnsiTheme="minorHAnsi"/>
                <w:noProof/>
                <w:sz w:val="22"/>
                <w:lang w:eastAsia="en-AU"/>
              </w:rPr>
              <w:tab/>
            </w:r>
            <w:r w:rsidR="00A142B7" w:rsidRPr="002A4A9C">
              <w:rPr>
                <w:rStyle w:val="Hyperlink"/>
                <w:noProof/>
              </w:rPr>
              <w:t>Findings and recommendations by Terms of Reference</w:t>
            </w:r>
            <w:r w:rsidR="00A142B7">
              <w:rPr>
                <w:noProof/>
                <w:webHidden/>
              </w:rPr>
              <w:tab/>
            </w:r>
            <w:r w:rsidR="00A142B7">
              <w:rPr>
                <w:noProof/>
                <w:webHidden/>
              </w:rPr>
              <w:fldChar w:fldCharType="begin"/>
            </w:r>
            <w:r w:rsidR="00A142B7">
              <w:rPr>
                <w:noProof/>
                <w:webHidden/>
              </w:rPr>
              <w:instrText xml:space="preserve"> PAGEREF _Toc68070979 \h </w:instrText>
            </w:r>
            <w:r w:rsidR="00A142B7">
              <w:rPr>
                <w:noProof/>
                <w:webHidden/>
              </w:rPr>
            </w:r>
            <w:r w:rsidR="00A142B7">
              <w:rPr>
                <w:noProof/>
                <w:webHidden/>
              </w:rPr>
              <w:fldChar w:fldCharType="separate"/>
            </w:r>
            <w:r w:rsidR="00A142B7">
              <w:rPr>
                <w:noProof/>
                <w:webHidden/>
              </w:rPr>
              <w:t>5</w:t>
            </w:r>
            <w:r w:rsidR="00A142B7">
              <w:rPr>
                <w:noProof/>
                <w:webHidden/>
              </w:rPr>
              <w:fldChar w:fldCharType="end"/>
            </w:r>
          </w:hyperlink>
        </w:p>
        <w:p w14:paraId="7EEC4C8C" w14:textId="62548E2A" w:rsidR="00A142B7" w:rsidRDefault="00C55B7B">
          <w:pPr>
            <w:pStyle w:val="TOC1"/>
            <w:tabs>
              <w:tab w:val="left" w:pos="1320"/>
              <w:tab w:val="right" w:leader="dot" w:pos="8920"/>
            </w:tabs>
            <w:rPr>
              <w:rFonts w:asciiTheme="minorHAnsi" w:eastAsiaTheme="minorEastAsia" w:hAnsiTheme="minorHAnsi"/>
              <w:noProof/>
              <w:sz w:val="22"/>
              <w:lang w:eastAsia="en-AU"/>
            </w:rPr>
          </w:pPr>
          <w:hyperlink w:anchor="_Toc68070980" w:history="1">
            <w:r w:rsidR="00A142B7" w:rsidRPr="002A4A9C">
              <w:rPr>
                <w:rStyle w:val="Hyperlink"/>
                <w:noProof/>
              </w:rPr>
              <w:t>Appendix A</w:t>
            </w:r>
            <w:r w:rsidR="00A142B7">
              <w:rPr>
                <w:rFonts w:asciiTheme="minorHAnsi" w:eastAsiaTheme="minorEastAsia" w:hAnsiTheme="minorHAnsi"/>
                <w:noProof/>
                <w:sz w:val="22"/>
                <w:lang w:eastAsia="en-AU"/>
              </w:rPr>
              <w:tab/>
            </w:r>
            <w:r w:rsidR="00A142B7" w:rsidRPr="002A4A9C">
              <w:rPr>
                <w:rStyle w:val="Hyperlink"/>
                <w:noProof/>
              </w:rPr>
              <w:t>Terms of Reference</w:t>
            </w:r>
            <w:r w:rsidR="00A142B7">
              <w:rPr>
                <w:noProof/>
                <w:webHidden/>
              </w:rPr>
              <w:tab/>
            </w:r>
            <w:r w:rsidR="00A142B7">
              <w:rPr>
                <w:noProof/>
                <w:webHidden/>
              </w:rPr>
              <w:fldChar w:fldCharType="begin"/>
            </w:r>
            <w:r w:rsidR="00A142B7">
              <w:rPr>
                <w:noProof/>
                <w:webHidden/>
              </w:rPr>
              <w:instrText xml:space="preserve"> PAGEREF _Toc68070980 \h </w:instrText>
            </w:r>
            <w:r w:rsidR="00A142B7">
              <w:rPr>
                <w:noProof/>
                <w:webHidden/>
              </w:rPr>
            </w:r>
            <w:r w:rsidR="00A142B7">
              <w:rPr>
                <w:noProof/>
                <w:webHidden/>
              </w:rPr>
              <w:fldChar w:fldCharType="separate"/>
            </w:r>
            <w:r w:rsidR="00A142B7">
              <w:rPr>
                <w:noProof/>
                <w:webHidden/>
              </w:rPr>
              <w:t>17</w:t>
            </w:r>
            <w:r w:rsidR="00A142B7">
              <w:rPr>
                <w:noProof/>
                <w:webHidden/>
              </w:rPr>
              <w:fldChar w:fldCharType="end"/>
            </w:r>
          </w:hyperlink>
        </w:p>
        <w:p w14:paraId="4A41871A" w14:textId="44E72D50" w:rsidR="00A142B7" w:rsidRDefault="00C55B7B">
          <w:pPr>
            <w:pStyle w:val="TOC1"/>
            <w:tabs>
              <w:tab w:val="left" w:pos="1320"/>
              <w:tab w:val="right" w:leader="dot" w:pos="8920"/>
            </w:tabs>
            <w:rPr>
              <w:rFonts w:asciiTheme="minorHAnsi" w:eastAsiaTheme="minorEastAsia" w:hAnsiTheme="minorHAnsi"/>
              <w:noProof/>
              <w:sz w:val="22"/>
              <w:lang w:eastAsia="en-AU"/>
            </w:rPr>
          </w:pPr>
          <w:hyperlink w:anchor="_Toc68070981" w:history="1">
            <w:r w:rsidR="00A142B7" w:rsidRPr="002A4A9C">
              <w:rPr>
                <w:rStyle w:val="Hyperlink"/>
                <w:noProof/>
              </w:rPr>
              <w:t>Appendix B</w:t>
            </w:r>
            <w:r w:rsidR="00A142B7">
              <w:rPr>
                <w:rFonts w:asciiTheme="minorHAnsi" w:eastAsiaTheme="minorEastAsia" w:hAnsiTheme="minorHAnsi"/>
                <w:noProof/>
                <w:sz w:val="22"/>
                <w:lang w:eastAsia="en-AU"/>
              </w:rPr>
              <w:tab/>
            </w:r>
            <w:r w:rsidR="00A142B7" w:rsidRPr="002A4A9C">
              <w:rPr>
                <w:rStyle w:val="Hyperlink"/>
                <w:noProof/>
              </w:rPr>
              <w:t>NTRB-SPs under review</w:t>
            </w:r>
            <w:r w:rsidR="00A142B7">
              <w:rPr>
                <w:noProof/>
                <w:webHidden/>
              </w:rPr>
              <w:tab/>
            </w:r>
            <w:r w:rsidR="00A142B7">
              <w:rPr>
                <w:noProof/>
                <w:webHidden/>
              </w:rPr>
              <w:fldChar w:fldCharType="begin"/>
            </w:r>
            <w:r w:rsidR="00A142B7">
              <w:rPr>
                <w:noProof/>
                <w:webHidden/>
              </w:rPr>
              <w:instrText xml:space="preserve"> PAGEREF _Toc68070981 \h </w:instrText>
            </w:r>
            <w:r w:rsidR="00A142B7">
              <w:rPr>
                <w:noProof/>
                <w:webHidden/>
              </w:rPr>
            </w:r>
            <w:r w:rsidR="00A142B7">
              <w:rPr>
                <w:noProof/>
                <w:webHidden/>
              </w:rPr>
              <w:fldChar w:fldCharType="separate"/>
            </w:r>
            <w:r w:rsidR="00A142B7">
              <w:rPr>
                <w:noProof/>
                <w:webHidden/>
              </w:rPr>
              <w:t>18</w:t>
            </w:r>
            <w:r w:rsidR="00A142B7">
              <w:rPr>
                <w:noProof/>
                <w:webHidden/>
              </w:rPr>
              <w:fldChar w:fldCharType="end"/>
            </w:r>
          </w:hyperlink>
        </w:p>
        <w:p w14:paraId="4EE8CE2E" w14:textId="3F718818" w:rsidR="00A142B7" w:rsidRDefault="00C55B7B">
          <w:pPr>
            <w:pStyle w:val="TOC1"/>
            <w:tabs>
              <w:tab w:val="left" w:pos="1320"/>
              <w:tab w:val="right" w:leader="dot" w:pos="8920"/>
            </w:tabs>
            <w:rPr>
              <w:rFonts w:asciiTheme="minorHAnsi" w:eastAsiaTheme="minorEastAsia" w:hAnsiTheme="minorHAnsi"/>
              <w:noProof/>
              <w:sz w:val="22"/>
              <w:lang w:eastAsia="en-AU"/>
            </w:rPr>
          </w:pPr>
          <w:hyperlink w:anchor="_Toc68070982" w:history="1">
            <w:r w:rsidR="00A142B7" w:rsidRPr="002A4A9C">
              <w:rPr>
                <w:rStyle w:val="Hyperlink"/>
                <w:noProof/>
              </w:rPr>
              <w:t>Appendix C</w:t>
            </w:r>
            <w:r w:rsidR="00A142B7">
              <w:rPr>
                <w:rFonts w:asciiTheme="minorHAnsi" w:eastAsiaTheme="minorEastAsia" w:hAnsiTheme="minorHAnsi"/>
                <w:noProof/>
                <w:sz w:val="22"/>
                <w:lang w:eastAsia="en-AU"/>
              </w:rPr>
              <w:tab/>
            </w:r>
            <w:r w:rsidR="00A142B7" w:rsidRPr="002A4A9C">
              <w:rPr>
                <w:rStyle w:val="Hyperlink"/>
                <w:noProof/>
              </w:rPr>
              <w:t>Stakeholders consulted</w:t>
            </w:r>
            <w:r w:rsidR="00A142B7">
              <w:rPr>
                <w:noProof/>
                <w:webHidden/>
              </w:rPr>
              <w:tab/>
            </w:r>
            <w:r w:rsidR="00A142B7">
              <w:rPr>
                <w:noProof/>
                <w:webHidden/>
              </w:rPr>
              <w:fldChar w:fldCharType="begin"/>
            </w:r>
            <w:r w:rsidR="00A142B7">
              <w:rPr>
                <w:noProof/>
                <w:webHidden/>
              </w:rPr>
              <w:instrText xml:space="preserve"> PAGEREF _Toc68070982 \h </w:instrText>
            </w:r>
            <w:r w:rsidR="00A142B7">
              <w:rPr>
                <w:noProof/>
                <w:webHidden/>
              </w:rPr>
            </w:r>
            <w:r w:rsidR="00A142B7">
              <w:rPr>
                <w:noProof/>
                <w:webHidden/>
              </w:rPr>
              <w:fldChar w:fldCharType="separate"/>
            </w:r>
            <w:r w:rsidR="00A142B7">
              <w:rPr>
                <w:noProof/>
                <w:webHidden/>
              </w:rPr>
              <w:t>19</w:t>
            </w:r>
            <w:r w:rsidR="00A142B7">
              <w:rPr>
                <w:noProof/>
                <w:webHidden/>
              </w:rPr>
              <w:fldChar w:fldCharType="end"/>
            </w:r>
          </w:hyperlink>
        </w:p>
        <w:p w14:paraId="543A9D77" w14:textId="19A62B26" w:rsidR="00A142B7" w:rsidRDefault="00C55B7B">
          <w:pPr>
            <w:pStyle w:val="TOC1"/>
            <w:tabs>
              <w:tab w:val="left" w:pos="1320"/>
              <w:tab w:val="right" w:leader="dot" w:pos="8920"/>
            </w:tabs>
            <w:rPr>
              <w:rFonts w:asciiTheme="minorHAnsi" w:eastAsiaTheme="minorEastAsia" w:hAnsiTheme="minorHAnsi"/>
              <w:noProof/>
              <w:sz w:val="22"/>
              <w:lang w:eastAsia="en-AU"/>
            </w:rPr>
          </w:pPr>
          <w:hyperlink w:anchor="_Toc68070983" w:history="1">
            <w:r w:rsidR="00A142B7" w:rsidRPr="002A4A9C">
              <w:rPr>
                <w:rStyle w:val="Hyperlink"/>
                <w:noProof/>
              </w:rPr>
              <w:t>Appendix D</w:t>
            </w:r>
            <w:r w:rsidR="00A142B7">
              <w:rPr>
                <w:rFonts w:asciiTheme="minorHAnsi" w:eastAsiaTheme="minorEastAsia" w:hAnsiTheme="minorHAnsi"/>
                <w:noProof/>
                <w:sz w:val="22"/>
                <w:lang w:eastAsia="en-AU"/>
              </w:rPr>
              <w:tab/>
            </w:r>
            <w:r w:rsidR="00A142B7" w:rsidRPr="002A4A9C">
              <w:rPr>
                <w:rStyle w:val="Hyperlink"/>
                <w:noProof/>
              </w:rPr>
              <w:t>Methodology</w:t>
            </w:r>
            <w:r w:rsidR="00A142B7">
              <w:rPr>
                <w:noProof/>
                <w:webHidden/>
              </w:rPr>
              <w:tab/>
            </w:r>
            <w:r w:rsidR="00A142B7">
              <w:rPr>
                <w:noProof/>
                <w:webHidden/>
              </w:rPr>
              <w:fldChar w:fldCharType="begin"/>
            </w:r>
            <w:r w:rsidR="00A142B7">
              <w:rPr>
                <w:noProof/>
                <w:webHidden/>
              </w:rPr>
              <w:instrText xml:space="preserve"> PAGEREF _Toc68070983 \h </w:instrText>
            </w:r>
            <w:r w:rsidR="00A142B7">
              <w:rPr>
                <w:noProof/>
                <w:webHidden/>
              </w:rPr>
            </w:r>
            <w:r w:rsidR="00A142B7">
              <w:rPr>
                <w:noProof/>
                <w:webHidden/>
              </w:rPr>
              <w:fldChar w:fldCharType="separate"/>
            </w:r>
            <w:r w:rsidR="00A142B7">
              <w:rPr>
                <w:noProof/>
                <w:webHidden/>
              </w:rPr>
              <w:t>20</w:t>
            </w:r>
            <w:r w:rsidR="00A142B7">
              <w:rPr>
                <w:noProof/>
                <w:webHidden/>
              </w:rPr>
              <w:fldChar w:fldCharType="end"/>
            </w:r>
          </w:hyperlink>
        </w:p>
        <w:p w14:paraId="67B7C781" w14:textId="2642B586" w:rsidR="00A142B7" w:rsidRDefault="00C55B7B">
          <w:pPr>
            <w:pStyle w:val="TOC1"/>
            <w:tabs>
              <w:tab w:val="left" w:pos="1320"/>
              <w:tab w:val="right" w:leader="dot" w:pos="8920"/>
            </w:tabs>
            <w:rPr>
              <w:rFonts w:asciiTheme="minorHAnsi" w:eastAsiaTheme="minorEastAsia" w:hAnsiTheme="minorHAnsi"/>
              <w:noProof/>
              <w:sz w:val="22"/>
              <w:lang w:eastAsia="en-AU"/>
            </w:rPr>
          </w:pPr>
          <w:hyperlink w:anchor="_Toc68070984" w:history="1">
            <w:r w:rsidR="00A142B7" w:rsidRPr="002A4A9C">
              <w:rPr>
                <w:rStyle w:val="Hyperlink"/>
                <w:noProof/>
              </w:rPr>
              <w:t>Appendix E</w:t>
            </w:r>
            <w:r w:rsidR="00A142B7">
              <w:rPr>
                <w:rFonts w:asciiTheme="minorHAnsi" w:eastAsiaTheme="minorEastAsia" w:hAnsiTheme="minorHAnsi"/>
                <w:noProof/>
                <w:sz w:val="22"/>
                <w:lang w:eastAsia="en-AU"/>
              </w:rPr>
              <w:tab/>
            </w:r>
            <w:r w:rsidR="00A142B7" w:rsidRPr="002A4A9C">
              <w:rPr>
                <w:rStyle w:val="Hyperlink"/>
                <w:noProof/>
              </w:rPr>
              <w:t>Glossary</w:t>
            </w:r>
            <w:r w:rsidR="00A142B7">
              <w:rPr>
                <w:noProof/>
                <w:webHidden/>
              </w:rPr>
              <w:tab/>
            </w:r>
            <w:r w:rsidR="00A142B7">
              <w:rPr>
                <w:noProof/>
                <w:webHidden/>
              </w:rPr>
              <w:fldChar w:fldCharType="begin"/>
            </w:r>
            <w:r w:rsidR="00A142B7">
              <w:rPr>
                <w:noProof/>
                <w:webHidden/>
              </w:rPr>
              <w:instrText xml:space="preserve"> PAGEREF _Toc68070984 \h </w:instrText>
            </w:r>
            <w:r w:rsidR="00A142B7">
              <w:rPr>
                <w:noProof/>
                <w:webHidden/>
              </w:rPr>
            </w:r>
            <w:r w:rsidR="00A142B7">
              <w:rPr>
                <w:noProof/>
                <w:webHidden/>
              </w:rPr>
              <w:fldChar w:fldCharType="separate"/>
            </w:r>
            <w:r w:rsidR="00A142B7">
              <w:rPr>
                <w:noProof/>
                <w:webHidden/>
              </w:rPr>
              <w:t>21</w:t>
            </w:r>
            <w:r w:rsidR="00A142B7">
              <w:rPr>
                <w:noProof/>
                <w:webHidden/>
              </w:rPr>
              <w:fldChar w:fldCharType="end"/>
            </w:r>
          </w:hyperlink>
        </w:p>
        <w:p w14:paraId="521BFFDF" w14:textId="106D8193" w:rsidR="000A7531" w:rsidRDefault="000A7531">
          <w:r>
            <w:rPr>
              <w:b/>
              <w:bCs/>
              <w:noProof/>
            </w:rPr>
            <w:fldChar w:fldCharType="end"/>
          </w:r>
        </w:p>
      </w:sdtContent>
    </w:sdt>
    <w:p w14:paraId="12FB0C8D" w14:textId="77777777" w:rsidR="000A7531" w:rsidRDefault="000A7531" w:rsidP="000A7531">
      <w:pPr>
        <w:rPr>
          <w:rFonts w:eastAsia="Times New Roman" w:cs="Times New Roman"/>
          <w:b/>
          <w:color w:val="00264D"/>
          <w:sz w:val="36"/>
          <w:szCs w:val="19"/>
          <w:lang w:eastAsia="en-AU"/>
        </w:rPr>
      </w:pPr>
      <w:r>
        <w:br w:type="page"/>
      </w:r>
    </w:p>
    <w:p w14:paraId="0381B7F5" w14:textId="7B3F4F7B" w:rsidR="00525012" w:rsidRDefault="00E5318B" w:rsidP="00C13B3A">
      <w:pPr>
        <w:pStyle w:val="Heading1"/>
        <w:numPr>
          <w:ilvl w:val="0"/>
          <w:numId w:val="7"/>
        </w:numPr>
      </w:pPr>
      <w:bookmarkStart w:id="3" w:name="_Toc68070977"/>
      <w:r>
        <w:lastRenderedPageBreak/>
        <w:t>About the Review</w:t>
      </w:r>
      <w:bookmarkEnd w:id="3"/>
    </w:p>
    <w:p w14:paraId="76A9AA72" w14:textId="6C586E57" w:rsidR="001814EB" w:rsidRDefault="001814EB" w:rsidP="001814EB">
      <w:pPr>
        <w:rPr>
          <w:lang w:eastAsia="en-AU"/>
        </w:rPr>
      </w:pPr>
      <w:bookmarkStart w:id="4" w:name="_Hlk41335110"/>
      <w:bookmarkStart w:id="5" w:name="_Hlk39652093"/>
      <w:bookmarkStart w:id="6" w:name="_Hlk39652252"/>
      <w:bookmarkStart w:id="7" w:name="_Toc502668013"/>
      <w:bookmarkStart w:id="8" w:name="_Toc502839775"/>
      <w:bookmarkStart w:id="9" w:name="_Toc502843251"/>
      <w:bookmarkStart w:id="10" w:name="_Toc502847614"/>
      <w:bookmarkStart w:id="11" w:name="_Toc502850758"/>
      <w:bookmarkStart w:id="12" w:name="_Toc502855190"/>
      <w:bookmarkStart w:id="13" w:name="_Toc503117089"/>
      <w:bookmarkStart w:id="14" w:name="_Toc505259166"/>
      <w:bookmarkStart w:id="15" w:name="_Toc505256233"/>
      <w:bookmarkStart w:id="16" w:name="_Toc505618276"/>
      <w:r>
        <w:rPr>
          <w:lang w:eastAsia="en-AU"/>
        </w:rPr>
        <w:t>The Department of the Prime Minister and Cabinet</w:t>
      </w:r>
      <w:r>
        <w:rPr>
          <w:rStyle w:val="FootnoteReference"/>
          <w:lang w:eastAsia="en-AU"/>
        </w:rPr>
        <w:footnoteReference w:id="2"/>
      </w:r>
      <w:r>
        <w:rPr>
          <w:lang w:eastAsia="en-AU"/>
        </w:rPr>
        <w:t xml:space="preserve"> commissioned this Review as part of a series of reviews to assess the efficiency and effectiveness of </w:t>
      </w:r>
      <w:r w:rsidR="001F3BC5">
        <w:rPr>
          <w:lang w:eastAsia="en-AU"/>
        </w:rPr>
        <w:t>14</w:t>
      </w:r>
      <w:r>
        <w:rPr>
          <w:lang w:eastAsia="en-AU"/>
        </w:rPr>
        <w:t xml:space="preserve"> Native Title Representative Bodies and Service Providers (NTRB-SPs) in carrying out their functions under the </w:t>
      </w:r>
      <w:r w:rsidRPr="00EA47FA">
        <w:rPr>
          <w:i/>
          <w:iCs/>
          <w:lang w:eastAsia="en-AU"/>
        </w:rPr>
        <w:t>Native Title Act 1993</w:t>
      </w:r>
      <w:r>
        <w:rPr>
          <w:i/>
          <w:iCs/>
          <w:lang w:eastAsia="en-AU"/>
        </w:rPr>
        <w:t xml:space="preserve"> (</w:t>
      </w:r>
      <w:proofErr w:type="spellStart"/>
      <w:r>
        <w:rPr>
          <w:i/>
          <w:iCs/>
          <w:lang w:eastAsia="en-AU"/>
        </w:rPr>
        <w:t>Cth</w:t>
      </w:r>
      <w:proofErr w:type="spellEnd"/>
      <w:r>
        <w:rPr>
          <w:i/>
          <w:iCs/>
          <w:lang w:eastAsia="en-AU"/>
        </w:rPr>
        <w:t xml:space="preserve">) </w:t>
      </w:r>
      <w:r w:rsidRPr="00BB7B00">
        <w:t>(</w:t>
      </w:r>
      <w:r w:rsidRPr="005124CF">
        <w:t>her</w:t>
      </w:r>
      <w:r>
        <w:t>e</w:t>
      </w:r>
      <w:r w:rsidRPr="005124CF">
        <w:t>in</w:t>
      </w:r>
      <w:r>
        <w:rPr>
          <w:i/>
        </w:rPr>
        <w:t xml:space="preserve"> </w:t>
      </w:r>
      <w:r w:rsidRPr="005938AF">
        <w:rPr>
          <w:iCs/>
        </w:rPr>
        <w:t>NTA</w:t>
      </w:r>
      <w:r w:rsidRPr="00BB7B00">
        <w:t>)</w:t>
      </w:r>
      <w:r>
        <w:rPr>
          <w:lang w:eastAsia="en-AU"/>
        </w:rPr>
        <w:t xml:space="preserve">. </w:t>
      </w:r>
      <w:r w:rsidRPr="00AC1574">
        <w:rPr>
          <w:lang w:eastAsia="en-AU"/>
        </w:rPr>
        <w:t xml:space="preserve">The </w:t>
      </w:r>
      <w:r>
        <w:rPr>
          <w:lang w:eastAsia="en-AU"/>
        </w:rPr>
        <w:t xml:space="preserve">complete </w:t>
      </w:r>
      <w:r w:rsidRPr="00AC1574">
        <w:rPr>
          <w:lang w:eastAsia="en-AU"/>
        </w:rPr>
        <w:t>Terms of Reference</w:t>
      </w:r>
      <w:r>
        <w:rPr>
          <w:lang w:eastAsia="en-AU"/>
        </w:rPr>
        <w:t xml:space="preserve"> (TOR)</w:t>
      </w:r>
      <w:r w:rsidRPr="00AC1574">
        <w:rPr>
          <w:lang w:eastAsia="en-AU"/>
        </w:rPr>
        <w:t xml:space="preserve"> provided </w:t>
      </w:r>
      <w:r>
        <w:rPr>
          <w:lang w:eastAsia="en-AU"/>
        </w:rPr>
        <w:t>f</w:t>
      </w:r>
      <w:r w:rsidRPr="00AC1574">
        <w:rPr>
          <w:lang w:eastAsia="en-AU"/>
        </w:rPr>
        <w:t>or the Review are</w:t>
      </w:r>
      <w:r>
        <w:rPr>
          <w:lang w:eastAsia="en-AU"/>
        </w:rPr>
        <w:t xml:space="preserve"> included in </w:t>
      </w:r>
      <w:r>
        <w:rPr>
          <w:lang w:eastAsia="en-AU"/>
        </w:rPr>
        <w:fldChar w:fldCharType="begin"/>
      </w:r>
      <w:r>
        <w:rPr>
          <w:lang w:eastAsia="en-AU"/>
        </w:rPr>
        <w:instrText xml:space="preserve"> REF _Ref500494833 \r \h </w:instrText>
      </w:r>
      <w:r>
        <w:rPr>
          <w:lang w:eastAsia="en-AU"/>
        </w:rPr>
      </w:r>
      <w:r>
        <w:rPr>
          <w:lang w:eastAsia="en-AU"/>
        </w:rPr>
        <w:fldChar w:fldCharType="separate"/>
      </w:r>
      <w:r w:rsidR="00A142B7">
        <w:rPr>
          <w:lang w:eastAsia="en-AU"/>
        </w:rPr>
        <w:t>Appendix A</w:t>
      </w:r>
      <w:r>
        <w:rPr>
          <w:lang w:eastAsia="en-AU"/>
        </w:rPr>
        <w:fldChar w:fldCharType="end"/>
      </w:r>
      <w:r>
        <w:rPr>
          <w:lang w:eastAsia="en-AU"/>
        </w:rPr>
        <w:t xml:space="preserve">. The </w:t>
      </w:r>
      <w:r w:rsidR="001F3BC5">
        <w:rPr>
          <w:lang w:eastAsia="en-AU"/>
        </w:rPr>
        <w:t>14</w:t>
      </w:r>
      <w:r>
        <w:rPr>
          <w:lang w:eastAsia="en-AU"/>
        </w:rPr>
        <w:t xml:space="preserve"> organisations reviewed are listed in </w:t>
      </w:r>
      <w:r w:rsidR="00D2388A">
        <w:rPr>
          <w:lang w:eastAsia="en-AU"/>
        </w:rPr>
        <w:fldChar w:fldCharType="begin"/>
      </w:r>
      <w:r w:rsidR="00D2388A">
        <w:rPr>
          <w:lang w:eastAsia="en-AU"/>
        </w:rPr>
        <w:instrText xml:space="preserve"> REF _Ref37158564 \n \h </w:instrText>
      </w:r>
      <w:r w:rsidR="00D2388A">
        <w:rPr>
          <w:lang w:eastAsia="en-AU"/>
        </w:rPr>
      </w:r>
      <w:r w:rsidR="00D2388A">
        <w:rPr>
          <w:lang w:eastAsia="en-AU"/>
        </w:rPr>
        <w:fldChar w:fldCharType="separate"/>
      </w:r>
      <w:r w:rsidR="00A142B7">
        <w:rPr>
          <w:lang w:eastAsia="en-AU"/>
        </w:rPr>
        <w:t>Appendix B</w:t>
      </w:r>
      <w:r w:rsidR="00D2388A">
        <w:rPr>
          <w:lang w:eastAsia="en-AU"/>
        </w:rPr>
        <w:fldChar w:fldCharType="end"/>
      </w:r>
      <w:r>
        <w:rPr>
          <w:lang w:eastAsia="en-AU"/>
        </w:rPr>
        <w:t xml:space="preserve">. </w:t>
      </w:r>
    </w:p>
    <w:bookmarkEnd w:id="4"/>
    <w:p w14:paraId="429F569D" w14:textId="07A2C3D5" w:rsidR="00C0422E" w:rsidRDefault="00FE3C14" w:rsidP="00B5372C">
      <w:pPr>
        <w:rPr>
          <w:b/>
          <w:lang w:eastAsia="en-AU"/>
        </w:rPr>
      </w:pPr>
      <w:r>
        <w:rPr>
          <w:b/>
          <w:lang w:eastAsia="en-AU"/>
        </w:rPr>
        <w:t>Cape York Land Council (CYLC)</w:t>
      </w:r>
      <w:r w:rsidR="00FA4902">
        <w:rPr>
          <w:lang w:eastAsia="en-AU"/>
        </w:rPr>
        <w:t xml:space="preserve"> </w:t>
      </w:r>
      <w:r w:rsidR="0070030A">
        <w:rPr>
          <w:lang w:eastAsia="en-AU"/>
        </w:rPr>
        <w:t xml:space="preserve">was </w:t>
      </w:r>
      <w:r w:rsidR="000F6ED7">
        <w:rPr>
          <w:lang w:eastAsia="en-AU"/>
        </w:rPr>
        <w:t>reviewed</w:t>
      </w:r>
      <w:r w:rsidR="00A34C39">
        <w:rPr>
          <w:lang w:eastAsia="en-AU"/>
        </w:rPr>
        <w:t xml:space="preserve"> from</w:t>
      </w:r>
      <w:r w:rsidR="006A40AF" w:rsidRPr="006A40AF">
        <w:rPr>
          <w:b/>
          <w:lang w:eastAsia="en-AU"/>
        </w:rPr>
        <w:t xml:space="preserve"> </w:t>
      </w:r>
      <w:r>
        <w:rPr>
          <w:b/>
          <w:lang w:eastAsia="en-AU"/>
        </w:rPr>
        <w:t>September 2018</w:t>
      </w:r>
      <w:r w:rsidR="006A40AF" w:rsidRPr="006A40AF">
        <w:rPr>
          <w:b/>
          <w:lang w:eastAsia="en-AU"/>
        </w:rPr>
        <w:t xml:space="preserve"> to </w:t>
      </w:r>
      <w:r>
        <w:rPr>
          <w:b/>
          <w:lang w:eastAsia="en-AU"/>
        </w:rPr>
        <w:t>April</w:t>
      </w:r>
      <w:r w:rsidR="006A40AF" w:rsidRPr="006A40AF">
        <w:rPr>
          <w:b/>
          <w:lang w:eastAsia="en-AU"/>
        </w:rPr>
        <w:t xml:space="preserve"> 201</w:t>
      </w:r>
      <w:r>
        <w:rPr>
          <w:b/>
          <w:lang w:eastAsia="en-AU"/>
        </w:rPr>
        <w:t>9</w:t>
      </w:r>
      <w:r w:rsidR="00BE53D9">
        <w:rPr>
          <w:b/>
          <w:lang w:eastAsia="en-AU"/>
        </w:rPr>
        <w:t xml:space="preserve"> in relation to the previous three-year period (</w:t>
      </w:r>
      <w:r w:rsidR="00C0422E" w:rsidRPr="006A40AF">
        <w:rPr>
          <w:b/>
          <w:lang w:eastAsia="en-AU"/>
        </w:rPr>
        <w:t>July 201</w:t>
      </w:r>
      <w:r>
        <w:rPr>
          <w:b/>
          <w:lang w:eastAsia="en-AU"/>
        </w:rPr>
        <w:t>5</w:t>
      </w:r>
      <w:r w:rsidR="00C0422E" w:rsidRPr="006A40AF">
        <w:rPr>
          <w:b/>
          <w:lang w:eastAsia="en-AU"/>
        </w:rPr>
        <w:t xml:space="preserve"> to June 201</w:t>
      </w:r>
      <w:r>
        <w:rPr>
          <w:b/>
          <w:lang w:eastAsia="en-AU"/>
        </w:rPr>
        <w:t>8</w:t>
      </w:r>
      <w:r w:rsidR="00BE53D9">
        <w:rPr>
          <w:b/>
          <w:lang w:eastAsia="en-AU"/>
        </w:rPr>
        <w:t>)</w:t>
      </w:r>
      <w:r w:rsidR="00C0422E" w:rsidRPr="006A40AF">
        <w:rPr>
          <w:b/>
          <w:lang w:eastAsia="en-AU"/>
        </w:rPr>
        <w:t>.</w:t>
      </w:r>
      <w:r w:rsidR="00BE53D9">
        <w:rPr>
          <w:b/>
          <w:lang w:eastAsia="en-AU"/>
        </w:rPr>
        <w:t xml:space="preserve"> This document contains a summary of the Review’s overarching findings and recommendations for CYLC. It also includes CYLC</w:t>
      </w:r>
      <w:r w:rsidR="00677D73">
        <w:rPr>
          <w:b/>
          <w:lang w:eastAsia="en-AU"/>
        </w:rPr>
        <w:t>’s</w:t>
      </w:r>
      <w:r w:rsidR="00BE53D9">
        <w:rPr>
          <w:b/>
          <w:lang w:eastAsia="en-AU"/>
        </w:rPr>
        <w:t xml:space="preserve"> responses to the recommendations made by the Review.</w:t>
      </w:r>
    </w:p>
    <w:p w14:paraId="63FB4664" w14:textId="431B950C" w:rsidR="00677D73" w:rsidRPr="00BE53D9" w:rsidRDefault="00677D73" w:rsidP="00B5372C">
      <w:pPr>
        <w:rPr>
          <w:lang w:eastAsia="en-AU"/>
        </w:rPr>
      </w:pPr>
      <w:bookmarkStart w:id="17" w:name="_Hlk40690602"/>
      <w:r w:rsidRPr="00677D73">
        <w:rPr>
          <w:b/>
          <w:lang w:eastAsia="en-AU"/>
        </w:rPr>
        <w:t>Findings and recommendations represent an assessment of performance at the time of the Review and have not been subsequently amended or updated.</w:t>
      </w:r>
      <w:bookmarkEnd w:id="17"/>
    </w:p>
    <w:bookmarkEnd w:id="5"/>
    <w:p w14:paraId="5A9F9666" w14:textId="7F8AD3FB" w:rsidR="00F64BB4" w:rsidRDefault="00FA1EB1" w:rsidP="00BB5C42">
      <w:pPr>
        <w:rPr>
          <w:lang w:eastAsia="en-AU"/>
        </w:rPr>
      </w:pPr>
      <w:r w:rsidRPr="00FA1EB1">
        <w:rPr>
          <w:lang w:eastAsia="en-AU"/>
        </w:rPr>
        <w:t>In addition to the individual reports, Nous</w:t>
      </w:r>
      <w:r w:rsidR="00D57DC9">
        <w:rPr>
          <w:lang w:eastAsia="en-AU"/>
        </w:rPr>
        <w:t xml:space="preserve"> Group (Nous)</w:t>
      </w:r>
      <w:r w:rsidRPr="00FA1EB1">
        <w:rPr>
          <w:lang w:eastAsia="en-AU"/>
        </w:rPr>
        <w:t xml:space="preserve"> has developed a de-identified comparative report which considers the performance of</w:t>
      </w:r>
      <w:r w:rsidR="00677D73">
        <w:rPr>
          <w:lang w:eastAsia="en-AU"/>
        </w:rPr>
        <w:t xml:space="preserve"> all</w:t>
      </w:r>
      <w:r w:rsidRPr="00FA1EB1">
        <w:rPr>
          <w:lang w:eastAsia="en-AU"/>
        </w:rPr>
        <w:t xml:space="preserve"> the organisations across the TORs</w:t>
      </w:r>
      <w:r w:rsidR="00CD3774">
        <w:rPr>
          <w:lang w:eastAsia="en-AU"/>
        </w:rPr>
        <w:t xml:space="preserve">. The report presents </w:t>
      </w:r>
      <w:r w:rsidR="002D067D" w:rsidRPr="00C4471D">
        <w:t xml:space="preserve">a discussion of </w:t>
      </w:r>
      <w:r w:rsidR="002D067D">
        <w:t xml:space="preserve">systemic issues within each TOR </w:t>
      </w:r>
      <w:r w:rsidR="002D067D" w:rsidRPr="00C4471D">
        <w:t xml:space="preserve">that </w:t>
      </w:r>
      <w:r w:rsidR="002D067D">
        <w:t xml:space="preserve">arose in all or most of the organisations across </w:t>
      </w:r>
      <w:r w:rsidR="00351DEB">
        <w:t>all</w:t>
      </w:r>
      <w:r w:rsidR="002D067D">
        <w:t xml:space="preserve"> tranches of the Review and that are pertinent to the broader native title system.</w:t>
      </w:r>
    </w:p>
    <w:p w14:paraId="65D9353E" w14:textId="38D8B0C8" w:rsidR="005B010F" w:rsidRDefault="00F64BB4" w:rsidP="00F64BB4">
      <w:pPr>
        <w:rPr>
          <w:lang w:eastAsia="en-AU"/>
        </w:rPr>
      </w:pPr>
      <w:r>
        <w:rPr>
          <w:lang w:eastAsia="en-AU"/>
        </w:rPr>
        <w:t xml:space="preserve">Nous has used a consistent </w:t>
      </w:r>
      <w:r w:rsidRPr="00537AF0">
        <w:rPr>
          <w:lang w:eastAsia="en-AU"/>
        </w:rPr>
        <w:t>methodology</w:t>
      </w:r>
      <w:r w:rsidRPr="00D47620">
        <w:rPr>
          <w:lang w:eastAsia="en-AU"/>
        </w:rPr>
        <w:t xml:space="preserve"> </w:t>
      </w:r>
      <w:r w:rsidR="00677D73">
        <w:rPr>
          <w:lang w:eastAsia="en-AU"/>
        </w:rPr>
        <w:t xml:space="preserve">for the Reviews </w:t>
      </w:r>
      <w:r w:rsidRPr="00D47620">
        <w:rPr>
          <w:lang w:eastAsia="en-AU"/>
        </w:rPr>
        <w:t xml:space="preserve">to support a comparative and transparent assessment of </w:t>
      </w:r>
      <w:r w:rsidR="00FE3C14">
        <w:rPr>
          <w:lang w:eastAsia="en-AU"/>
        </w:rPr>
        <w:t>CYLC</w:t>
      </w:r>
      <w:r>
        <w:rPr>
          <w:lang w:eastAsia="en-AU"/>
        </w:rPr>
        <w:t xml:space="preserve"> and </w:t>
      </w:r>
      <w:r w:rsidRPr="00D47620">
        <w:rPr>
          <w:lang w:eastAsia="en-AU"/>
        </w:rPr>
        <w:t xml:space="preserve">the </w:t>
      </w:r>
      <w:r>
        <w:rPr>
          <w:lang w:eastAsia="en-AU"/>
        </w:rPr>
        <w:t>other NTRB-SPs</w:t>
      </w:r>
      <w:r w:rsidR="00677D73">
        <w:rPr>
          <w:lang w:eastAsia="en-AU"/>
        </w:rPr>
        <w:t>. The methodology</w:t>
      </w:r>
      <w:r>
        <w:rPr>
          <w:lang w:eastAsia="en-AU"/>
        </w:rPr>
        <w:t xml:space="preserve"> 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w:t>
      </w:r>
      <w:r w:rsidR="00386942">
        <w:rPr>
          <w:lang w:eastAsia="en-AU"/>
        </w:rPr>
        <w:t>interviews with clients, potential clients, staff, CYLC’s Board of Directors, the Federal Court, the National Native Title Tribunal (NNTT) and the Queensland Government</w:t>
      </w:r>
      <w:r>
        <w:rPr>
          <w:lang w:eastAsia="en-AU"/>
        </w:rPr>
        <w:t xml:space="preserve">. </w:t>
      </w:r>
      <w:r w:rsidR="0034079F">
        <w:rPr>
          <w:lang w:eastAsia="en-AU"/>
        </w:rPr>
        <w:t xml:space="preserve">A list of stakeholders consulted is included in </w:t>
      </w:r>
      <w:r w:rsidR="0034079F">
        <w:rPr>
          <w:lang w:eastAsia="en-AU"/>
        </w:rPr>
        <w:fldChar w:fldCharType="begin"/>
      </w:r>
      <w:r w:rsidR="0034079F">
        <w:rPr>
          <w:lang w:eastAsia="en-AU"/>
        </w:rPr>
        <w:instrText xml:space="preserve"> REF _Ref37158591 \r \h </w:instrText>
      </w:r>
      <w:r w:rsidR="0034079F">
        <w:rPr>
          <w:lang w:eastAsia="en-AU"/>
        </w:rPr>
      </w:r>
      <w:r w:rsidR="0034079F">
        <w:rPr>
          <w:lang w:eastAsia="en-AU"/>
        </w:rPr>
        <w:fldChar w:fldCharType="separate"/>
      </w:r>
      <w:r w:rsidR="00A142B7">
        <w:rPr>
          <w:lang w:eastAsia="en-AU"/>
        </w:rPr>
        <w:t>Appendix C</w:t>
      </w:r>
      <w:r w:rsidR="0034079F">
        <w:rPr>
          <w:lang w:eastAsia="en-AU"/>
        </w:rPr>
        <w:fldChar w:fldCharType="end"/>
      </w:r>
      <w:r w:rsidR="0034079F">
        <w:rPr>
          <w:lang w:eastAsia="en-AU"/>
        </w:rPr>
        <w:t xml:space="preserve">. </w:t>
      </w:r>
    </w:p>
    <w:p w14:paraId="0621EFFC" w14:textId="3F4B8690" w:rsidR="00F64BB4" w:rsidRDefault="00F23850" w:rsidP="00F64BB4">
      <w:r>
        <w:t>CYLC</w:t>
      </w:r>
      <w:r w:rsidR="00F64BB4">
        <w:t xml:space="preserve"> </w:t>
      </w:r>
      <w:r w:rsidR="005B010F">
        <w:t xml:space="preserve">was </w:t>
      </w:r>
      <w:r w:rsidR="00F64BB4">
        <w:t xml:space="preserve">given the opportunity to review the </w:t>
      </w:r>
      <w:r w:rsidR="000947BF">
        <w:t xml:space="preserve">full </w:t>
      </w:r>
      <w:r w:rsidR="00F64BB4">
        <w:t>report</w:t>
      </w:r>
      <w:r w:rsidR="000947BF">
        <w:t xml:space="preserve"> in 2019 and has also provided</w:t>
      </w:r>
      <w:r w:rsidR="00F64BB4">
        <w:t xml:space="preserve"> </w:t>
      </w:r>
      <w:r w:rsidR="000947BF">
        <w:t xml:space="preserve">written </w:t>
      </w:r>
      <w:r w:rsidR="00F64BB4">
        <w:t xml:space="preserve">responses on </w:t>
      </w:r>
      <w:r w:rsidR="000947BF">
        <w:t>actions they are taking in response to</w:t>
      </w:r>
      <w:r w:rsidR="00F64BB4">
        <w:t xml:space="preserve"> recommendations made by the Review</w:t>
      </w:r>
      <w:r w:rsidR="00A34C39">
        <w:t>,</w:t>
      </w:r>
      <w:r w:rsidR="000947BF">
        <w:t xml:space="preserve"> which </w:t>
      </w:r>
      <w:r w:rsidR="001814EB">
        <w:t>are</w:t>
      </w:r>
      <w:r w:rsidR="000947BF">
        <w:t xml:space="preserve"> included in this summary document</w:t>
      </w:r>
      <w:r w:rsidR="00F64BB4">
        <w:t>.</w:t>
      </w:r>
      <w:r w:rsidR="002770F2">
        <w:t xml:space="preserve"> A </w:t>
      </w:r>
      <w:r w:rsidR="00677D73">
        <w:t xml:space="preserve">complete </w:t>
      </w:r>
      <w:r w:rsidR="002770F2">
        <w:t xml:space="preserve">description of the methodology is included in </w:t>
      </w:r>
      <w:r w:rsidR="0034079F">
        <w:fldChar w:fldCharType="begin"/>
      </w:r>
      <w:r w:rsidR="0034079F">
        <w:instrText xml:space="preserve"> REF _Ref37158604 \r \h </w:instrText>
      </w:r>
      <w:r w:rsidR="0034079F">
        <w:fldChar w:fldCharType="separate"/>
      </w:r>
      <w:r w:rsidR="00A142B7">
        <w:t>Appendix D</w:t>
      </w:r>
      <w:r w:rsidR="0034079F">
        <w:fldChar w:fldCharType="end"/>
      </w:r>
      <w:bookmarkEnd w:id="6"/>
      <w:r w:rsidR="002770F2">
        <w:t>.</w:t>
      </w:r>
    </w:p>
    <w:p w14:paraId="24ABC951" w14:textId="767D9A5F" w:rsidR="00456CB1" w:rsidRDefault="00456CB1" w:rsidP="00F64BB4">
      <w:pPr>
        <w:rPr>
          <w:lang w:eastAsia="en-AU"/>
        </w:rPr>
      </w:pPr>
    </w:p>
    <w:p w14:paraId="4B9829EB" w14:textId="7B904230" w:rsidR="00456CB1" w:rsidRDefault="00456CB1" w:rsidP="00F64BB4">
      <w:pPr>
        <w:rPr>
          <w:lang w:eastAsia="en-AU"/>
        </w:rPr>
      </w:pPr>
      <w:r>
        <w:rPr>
          <w:lang w:eastAsia="en-AU"/>
        </w:rPr>
        <w:br w:type="page"/>
      </w:r>
    </w:p>
    <w:p w14:paraId="6034A7EF" w14:textId="5187BF73" w:rsidR="00525012" w:rsidRDefault="00525012" w:rsidP="00525012">
      <w:pPr>
        <w:pStyle w:val="Heading1"/>
      </w:pPr>
      <w:bookmarkStart w:id="18" w:name="_Toc68070978"/>
      <w:r>
        <w:lastRenderedPageBreak/>
        <w:t xml:space="preserve">Profile of </w:t>
      </w:r>
      <w:r w:rsidR="004C63A8">
        <w:t>CYLC</w:t>
      </w:r>
      <w:r>
        <w:t xml:space="preserve"> at a glance</w:t>
      </w:r>
      <w:bookmarkEnd w:id="7"/>
      <w:bookmarkEnd w:id="8"/>
      <w:bookmarkEnd w:id="9"/>
      <w:bookmarkEnd w:id="10"/>
      <w:bookmarkEnd w:id="11"/>
      <w:bookmarkEnd w:id="12"/>
      <w:bookmarkEnd w:id="13"/>
      <w:bookmarkEnd w:id="14"/>
      <w:bookmarkEnd w:id="15"/>
      <w:bookmarkEnd w:id="16"/>
      <w:bookmarkEnd w:id="18"/>
    </w:p>
    <w:p w14:paraId="30C28C30" w14:textId="77777777" w:rsidR="007937C2" w:rsidRPr="009919B8" w:rsidRDefault="007937C2" w:rsidP="009919B8">
      <w:pPr>
        <w:rPr>
          <w:b/>
          <w:bCs/>
          <w:i/>
          <w:iCs/>
        </w:rPr>
      </w:pPr>
      <w:bookmarkStart w:id="19" w:name="_Toc502668014"/>
      <w:bookmarkStart w:id="20" w:name="_Toc502839776"/>
      <w:bookmarkStart w:id="21" w:name="_Toc502843252"/>
      <w:bookmarkStart w:id="22" w:name="_Toc502847615"/>
      <w:bookmarkStart w:id="23" w:name="_Toc502850759"/>
      <w:bookmarkStart w:id="24" w:name="_Toc502855191"/>
      <w:bookmarkStart w:id="25" w:name="_Toc503117090"/>
      <w:bookmarkStart w:id="26" w:name="_Toc505259167"/>
      <w:bookmarkStart w:id="27" w:name="_Toc505256234"/>
      <w:bookmarkStart w:id="28" w:name="_Toc505618277"/>
      <w:r w:rsidRPr="009919B8">
        <w:rPr>
          <w:b/>
          <w:bCs/>
          <w:i/>
          <w:iCs/>
        </w:rPr>
        <w:t>CYLC is based in Cairns and provides native title services to groups in the Cape York Peninsula region</w:t>
      </w:r>
    </w:p>
    <w:p w14:paraId="3288D392" w14:textId="2D06BEDA" w:rsidR="007937C2" w:rsidRDefault="007937C2" w:rsidP="007937C2">
      <w:r>
        <w:rPr>
          <w:noProof/>
          <w:lang w:eastAsia="en-AU"/>
        </w:rPr>
        <w:drawing>
          <wp:anchor distT="0" distB="0" distL="114300" distR="114300" simplePos="0" relativeHeight="251658241" behindDoc="0" locked="0" layoutInCell="1" allowOverlap="1" wp14:anchorId="32870B40" wp14:editId="30B284CF">
            <wp:simplePos x="0" y="0"/>
            <wp:positionH relativeFrom="column">
              <wp:posOffset>3830320</wp:posOffset>
            </wp:positionH>
            <wp:positionV relativeFrom="paragraph">
              <wp:posOffset>121920</wp:posOffset>
            </wp:positionV>
            <wp:extent cx="1774825" cy="2289175"/>
            <wp:effectExtent l="0" t="0" r="0" b="0"/>
            <wp:wrapSquare wrapText="bothSides"/>
            <wp:docPr id="1" name="Picture 1" descr="Map&#10;&#10;Cape York Representative Aboriginal/ Torres Strait Islander Body Area, in far north Queensland, comprises 128,401 square kilometres (not including sea territory), accounting for approximately 7% of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Cape York Representative Aboriginal/ Torres Strait Islander Body Area, in far north Queensland, comprises 128,401 square kilometres (not including sea territory), accounting for approximately 7% of Queenslan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4825" cy="2289175"/>
                    </a:xfrm>
                    <a:prstGeom prst="rect">
                      <a:avLst/>
                    </a:prstGeom>
                    <a:noFill/>
                  </pic:spPr>
                </pic:pic>
              </a:graphicData>
            </a:graphic>
            <wp14:sizeRelH relativeFrom="margin">
              <wp14:pctWidth>0</wp14:pctWidth>
            </wp14:sizeRelH>
            <wp14:sizeRelV relativeFrom="margin">
              <wp14:pctHeight>0</wp14:pctHeight>
            </wp14:sizeRelV>
          </wp:anchor>
        </w:drawing>
      </w:r>
      <w:r>
        <w:t xml:space="preserve">CYLC is a Native Title Service Provider funded under </w:t>
      </w:r>
      <w:proofErr w:type="gramStart"/>
      <w:r>
        <w:t>s203FE(</w:t>
      </w:r>
      <w:proofErr w:type="gramEnd"/>
      <w:r>
        <w:t xml:space="preserve">1) of the </w:t>
      </w:r>
      <w:r w:rsidRPr="002D0187">
        <w:rPr>
          <w:i/>
        </w:rPr>
        <w:t>Native Title Act 1993 (NTA)</w:t>
      </w:r>
      <w:r>
        <w:t xml:space="preserve"> for the Cape York </w:t>
      </w:r>
      <w:r w:rsidRPr="04F3A72A">
        <w:t>Representative Aboriginal/</w:t>
      </w:r>
      <w:r>
        <w:t xml:space="preserve"> </w:t>
      </w:r>
      <w:r w:rsidRPr="04F3A72A">
        <w:t>Torres Strait I</w:t>
      </w:r>
      <w:r>
        <w:t xml:space="preserve">slander Body (RATSIB) Area in Queensland. Established in November of 1990, CYLC was officially recognised as the region’s NTRB in 1993 and remained the recognised body </w:t>
      </w:r>
      <w:r w:rsidR="00B45498">
        <w:t>at</w:t>
      </w:r>
      <w:r>
        <w:t xml:space="preserve"> 30 June 2018.</w:t>
      </w:r>
    </w:p>
    <w:p w14:paraId="4629627A" w14:textId="39054778" w:rsidR="007937C2" w:rsidRDefault="000947BF" w:rsidP="007937C2">
      <w:pPr>
        <w:rPr>
          <w:lang w:eastAsia="en-AU"/>
        </w:rPr>
      </w:pPr>
      <w:r>
        <w:rPr>
          <w:lang w:eastAsia="en-AU"/>
        </w:rPr>
        <w:t>C</w:t>
      </w:r>
      <w:r w:rsidR="007937C2">
        <w:rPr>
          <w:lang w:eastAsia="en-AU"/>
        </w:rPr>
        <w:t>YLC’s RATSIB area, pictured right,</w:t>
      </w:r>
      <w:r w:rsidR="007937C2" w:rsidDel="00396616">
        <w:rPr>
          <w:lang w:eastAsia="en-AU"/>
        </w:rPr>
        <w:t xml:space="preserve"> </w:t>
      </w:r>
      <w:r w:rsidR="007937C2">
        <w:rPr>
          <w:lang w:eastAsia="en-AU"/>
        </w:rPr>
        <w:t>in far north Queensland, comprise</w:t>
      </w:r>
      <w:r>
        <w:rPr>
          <w:lang w:eastAsia="en-AU"/>
        </w:rPr>
        <w:t>s</w:t>
      </w:r>
      <w:r w:rsidR="007937C2">
        <w:rPr>
          <w:lang w:eastAsia="en-AU"/>
        </w:rPr>
        <w:t xml:space="preserve"> 128,401 square kilometres (not including sea territory), accounting for </w:t>
      </w:r>
      <w:r w:rsidR="007937C2" w:rsidRPr="003979F8">
        <w:rPr>
          <w:lang w:eastAsia="en-AU"/>
        </w:rPr>
        <w:t xml:space="preserve">approximately </w:t>
      </w:r>
      <w:r w:rsidR="007937C2">
        <w:rPr>
          <w:lang w:eastAsia="en-AU"/>
        </w:rPr>
        <w:t xml:space="preserve">7% </w:t>
      </w:r>
      <w:r w:rsidR="007937C2" w:rsidRPr="003979F8">
        <w:rPr>
          <w:lang w:eastAsia="en-AU"/>
        </w:rPr>
        <w:t xml:space="preserve">of </w:t>
      </w:r>
      <w:r w:rsidR="007937C2">
        <w:rPr>
          <w:lang w:eastAsia="en-AU"/>
        </w:rPr>
        <w:t>Queensland.</w:t>
      </w:r>
      <w:r w:rsidR="007937C2">
        <w:rPr>
          <w:rStyle w:val="FootnoteReference"/>
          <w:lang w:eastAsia="en-AU"/>
        </w:rPr>
        <w:footnoteReference w:id="3"/>
      </w:r>
      <w:r w:rsidR="007937C2">
        <w:rPr>
          <w:lang w:eastAsia="en-AU"/>
        </w:rPr>
        <w:t xml:space="preserve"> </w:t>
      </w:r>
    </w:p>
    <w:p w14:paraId="3CB3C560" w14:textId="48006961" w:rsidR="007937C2" w:rsidRDefault="003748DE" w:rsidP="007937C2">
      <w:r>
        <w:t xml:space="preserve">At </w:t>
      </w:r>
      <w:r w:rsidR="000947BF">
        <w:t xml:space="preserve">the time </w:t>
      </w:r>
      <w:r>
        <w:t>of</w:t>
      </w:r>
      <w:r w:rsidR="000947BF">
        <w:t xml:space="preserve"> the</w:t>
      </w:r>
      <w:r>
        <w:t xml:space="preserve"> </w:t>
      </w:r>
      <w:r w:rsidR="00677D73">
        <w:t>R</w:t>
      </w:r>
      <w:r>
        <w:t>eview, there had</w:t>
      </w:r>
      <w:r w:rsidR="007937C2">
        <w:t xml:space="preserve"> been 17 determinations of native title within the Cape York RATSIB area since the passage of the </w:t>
      </w:r>
      <w:r w:rsidR="007937C2" w:rsidRPr="7E6A3691">
        <w:rPr>
          <w:i/>
          <w:iCs/>
        </w:rPr>
        <w:t>Native Title Act</w:t>
      </w:r>
      <w:r w:rsidR="007937C2">
        <w:t xml:space="preserve"> </w:t>
      </w:r>
      <w:r w:rsidR="007937C2" w:rsidRPr="7E6A3691">
        <w:rPr>
          <w:i/>
          <w:iCs/>
        </w:rPr>
        <w:t>1993</w:t>
      </w:r>
      <w:r w:rsidR="007937C2">
        <w:rPr>
          <w:i/>
          <w:iCs/>
        </w:rPr>
        <w:t xml:space="preserve"> (NTA)</w:t>
      </w:r>
      <w:r w:rsidR="007937C2">
        <w:t>, three of which occurred between 2015/16 and 2017/18. CYLC was the solicitor on record for all three of these determinations.</w:t>
      </w:r>
    </w:p>
    <w:p w14:paraId="57A7D2A8" w14:textId="5CBCF494" w:rsidR="007937C2" w:rsidRDefault="007937C2" w:rsidP="007937C2">
      <w:pPr>
        <w:rPr>
          <w:lang w:eastAsia="en-AU"/>
        </w:rPr>
      </w:pPr>
      <w:r>
        <w:rPr>
          <w:lang w:eastAsia="en-AU"/>
        </w:rPr>
        <w:t xml:space="preserve">There </w:t>
      </w:r>
      <w:r w:rsidR="00FD79BF">
        <w:rPr>
          <w:lang w:eastAsia="en-AU"/>
        </w:rPr>
        <w:t>we</w:t>
      </w:r>
      <w:r>
        <w:rPr>
          <w:lang w:eastAsia="en-AU"/>
        </w:rPr>
        <w:t>re seven active claims that f</w:t>
      </w:r>
      <w:r w:rsidR="00EC3789">
        <w:rPr>
          <w:lang w:eastAsia="en-AU"/>
        </w:rPr>
        <w:t>e</w:t>
      </w:r>
      <w:r>
        <w:rPr>
          <w:lang w:eastAsia="en-AU"/>
        </w:rPr>
        <w:t>ll partly or wholly in the Cape York RATSIB area as of 30 June 2018. CYLC act</w:t>
      </w:r>
      <w:r w:rsidR="00EC3789">
        <w:rPr>
          <w:lang w:eastAsia="en-AU"/>
        </w:rPr>
        <w:t>ed</w:t>
      </w:r>
      <w:r>
        <w:rPr>
          <w:lang w:eastAsia="en-AU"/>
        </w:rPr>
        <w:t xml:space="preserve"> as the representative for all three of the claims which f</w:t>
      </w:r>
      <w:r w:rsidR="00EC3789">
        <w:rPr>
          <w:lang w:eastAsia="en-AU"/>
        </w:rPr>
        <w:t>e</w:t>
      </w:r>
      <w:r>
        <w:rPr>
          <w:lang w:eastAsia="en-AU"/>
        </w:rPr>
        <w:t xml:space="preserve">ll wholly within the RATSIB area. </w:t>
      </w:r>
    </w:p>
    <w:p w14:paraId="5C496E9E" w14:textId="55797356" w:rsidR="007937C2" w:rsidRDefault="007937C2" w:rsidP="007937C2">
      <w:pPr>
        <w:rPr>
          <w:lang w:eastAsia="en-AU"/>
        </w:rPr>
      </w:pPr>
      <w:r w:rsidRPr="00F24871">
        <w:rPr>
          <w:lang w:eastAsia="en-AU"/>
        </w:rPr>
        <w:t xml:space="preserve">CYLC’s </w:t>
      </w:r>
      <w:r w:rsidR="00B97FBC">
        <w:rPr>
          <w:lang w:eastAsia="en-AU"/>
        </w:rPr>
        <w:t>Prescribed Body Corporate (PBC)</w:t>
      </w:r>
      <w:r w:rsidRPr="00F24871">
        <w:rPr>
          <w:lang w:eastAsia="en-AU"/>
        </w:rPr>
        <w:t xml:space="preserve"> support unit provides assistance to </w:t>
      </w:r>
      <w:r>
        <w:rPr>
          <w:lang w:eastAsia="en-AU"/>
        </w:rPr>
        <w:t>13</w:t>
      </w:r>
      <w:r w:rsidRPr="00F24871">
        <w:rPr>
          <w:lang w:eastAsia="en-AU"/>
        </w:rPr>
        <w:t xml:space="preserve"> PBCs in its RATSIB area</w:t>
      </w:r>
      <w:r>
        <w:rPr>
          <w:lang w:eastAsia="en-AU"/>
        </w:rPr>
        <w:t>.</w:t>
      </w:r>
    </w:p>
    <w:p w14:paraId="34EA677B" w14:textId="77777777" w:rsidR="008E2190" w:rsidRDefault="008E2190" w:rsidP="008E2190">
      <w:pPr>
        <w:rPr>
          <w:lang w:eastAsia="en-AU"/>
        </w:rPr>
      </w:pPr>
      <w:r>
        <w:rPr>
          <w:lang w:eastAsia="en-AU"/>
        </w:rPr>
        <w:t>According to annual reports, CYLC received grants from PM&amp;C totalling $5,978,100 in 2015/16, $9,200,758 in 2016/17 and $7,543,587 in 2017/18, and revenue from non-government sources totalling $1,149,279 in 2015/16, $990,937 in 2016/17 and $970,006 in 2017/18.</w:t>
      </w:r>
      <w:r>
        <w:rPr>
          <w:rStyle w:val="FootnoteReference"/>
          <w:lang w:eastAsia="en-AU"/>
        </w:rPr>
        <w:footnoteReference w:id="4"/>
      </w:r>
      <w:r>
        <w:rPr>
          <w:lang w:eastAsia="en-AU"/>
        </w:rPr>
        <w:t xml:space="preserve"> However, not all of these grants and revenue were for native title funding.</w:t>
      </w:r>
    </w:p>
    <w:p w14:paraId="08257958" w14:textId="4FFFB79C" w:rsidR="007937C2" w:rsidRDefault="007937C2" w:rsidP="007937C2">
      <w:pPr>
        <w:rPr>
          <w:lang w:eastAsia="en-AU"/>
        </w:rPr>
      </w:pPr>
      <w:r>
        <w:rPr>
          <w:lang w:eastAsia="en-AU"/>
        </w:rPr>
        <w:t xml:space="preserve">CYLC received varying levels of </w:t>
      </w:r>
      <w:r w:rsidR="005A2673">
        <w:rPr>
          <w:lang w:eastAsia="en-AU"/>
        </w:rPr>
        <w:t xml:space="preserve">native title </w:t>
      </w:r>
      <w:r>
        <w:rPr>
          <w:lang w:eastAsia="en-AU"/>
        </w:rPr>
        <w:t>funding over the review period ($5,978,100 in 2015/16, $6,995,079 2016/17 and $7,258,564 in 2017/18).</w:t>
      </w:r>
      <w:r>
        <w:rPr>
          <w:rStyle w:val="FootnoteReference"/>
          <w:lang w:eastAsia="en-AU"/>
        </w:rPr>
        <w:footnoteReference w:id="5"/>
      </w:r>
      <w:r>
        <w:rPr>
          <w:lang w:eastAsia="en-AU"/>
        </w:rPr>
        <w:t xml:space="preserve"> They </w:t>
      </w:r>
      <w:r w:rsidR="004E0B1C">
        <w:rPr>
          <w:lang w:eastAsia="en-AU"/>
        </w:rPr>
        <w:t>have also had adjusted gross income and other income</w:t>
      </w:r>
      <w:r>
        <w:rPr>
          <w:lang w:eastAsia="en-AU"/>
        </w:rPr>
        <w:t xml:space="preserve"> from various sources ($227,801 in 2015/16, $154,784 in 2016/17 and $350,272 in 2017/18).</w:t>
      </w:r>
      <w:r>
        <w:rPr>
          <w:rStyle w:val="FootnoteReference"/>
          <w:lang w:eastAsia="en-AU"/>
        </w:rPr>
        <w:footnoteReference w:id="6"/>
      </w:r>
    </w:p>
    <w:p w14:paraId="20ACE58F" w14:textId="11227F5C" w:rsidR="007937C2" w:rsidRDefault="007937C2" w:rsidP="007937C2">
      <w:pPr>
        <w:rPr>
          <w:lang w:eastAsia="en-AU"/>
        </w:rPr>
      </w:pPr>
      <w:r>
        <w:rPr>
          <w:lang w:eastAsia="en-AU"/>
        </w:rPr>
        <w:t>CYLC ha</w:t>
      </w:r>
      <w:r w:rsidR="000C3BA5">
        <w:rPr>
          <w:lang w:eastAsia="en-AU"/>
        </w:rPr>
        <w:t>d</w:t>
      </w:r>
      <w:r>
        <w:rPr>
          <w:lang w:eastAsia="en-AU"/>
        </w:rPr>
        <w:t xml:space="preserve"> a representative Board, with Board Directors representing each of the communities in the Cape. The Board </w:t>
      </w:r>
      <w:r w:rsidR="000C3BA5">
        <w:rPr>
          <w:lang w:eastAsia="en-AU"/>
        </w:rPr>
        <w:t>wa</w:t>
      </w:r>
      <w:r>
        <w:rPr>
          <w:lang w:eastAsia="en-AU"/>
        </w:rPr>
        <w:t xml:space="preserve">s large </w:t>
      </w:r>
      <w:r w:rsidR="000C3BA5">
        <w:rPr>
          <w:lang w:eastAsia="en-AU"/>
        </w:rPr>
        <w:t>and comprised</w:t>
      </w:r>
      <w:r>
        <w:rPr>
          <w:lang w:eastAsia="en-AU"/>
        </w:rPr>
        <w:t xml:space="preserve"> 17 members. </w:t>
      </w:r>
      <w:r w:rsidRPr="00906130">
        <w:rPr>
          <w:lang w:eastAsia="en-AU"/>
        </w:rPr>
        <w:t>CYLC ha</w:t>
      </w:r>
      <w:r w:rsidR="000C3BA5">
        <w:rPr>
          <w:lang w:eastAsia="en-AU"/>
        </w:rPr>
        <w:t>d</w:t>
      </w:r>
      <w:r w:rsidRPr="00906130">
        <w:rPr>
          <w:lang w:eastAsia="en-AU"/>
        </w:rPr>
        <w:t xml:space="preserve"> one office, located in Cairns</w:t>
      </w:r>
      <w:r>
        <w:rPr>
          <w:lang w:eastAsia="en-AU"/>
        </w:rPr>
        <w:t>. Of CYLC’s 99 employees, 78 (79%) identif</w:t>
      </w:r>
      <w:r w:rsidR="000C3BA5">
        <w:rPr>
          <w:lang w:eastAsia="en-AU"/>
        </w:rPr>
        <w:t>ied</w:t>
      </w:r>
      <w:r>
        <w:rPr>
          <w:lang w:eastAsia="en-AU"/>
        </w:rPr>
        <w:t xml:space="preserve"> as Aboriginal and/or Torres Strait Islander. 41 employees </w:t>
      </w:r>
      <w:r w:rsidR="000C3BA5">
        <w:rPr>
          <w:lang w:eastAsia="en-AU"/>
        </w:rPr>
        <w:t>wer</w:t>
      </w:r>
      <w:r>
        <w:rPr>
          <w:lang w:eastAsia="en-AU"/>
        </w:rPr>
        <w:t xml:space="preserve">e funded through </w:t>
      </w:r>
      <w:r w:rsidR="000C3BA5">
        <w:rPr>
          <w:lang w:eastAsia="en-AU"/>
        </w:rPr>
        <w:t>the NIAA</w:t>
      </w:r>
      <w:r>
        <w:rPr>
          <w:lang w:eastAsia="en-AU"/>
        </w:rPr>
        <w:t xml:space="preserve"> for its native title functions, and the remaining 58 casual employees </w:t>
      </w:r>
      <w:r w:rsidR="000C3BA5">
        <w:rPr>
          <w:lang w:eastAsia="en-AU"/>
        </w:rPr>
        <w:t>we</w:t>
      </w:r>
      <w:r>
        <w:rPr>
          <w:lang w:eastAsia="en-AU"/>
        </w:rPr>
        <w:t xml:space="preserve">re funded through various other grants noted above. </w:t>
      </w:r>
    </w:p>
    <w:p w14:paraId="23EF6875" w14:textId="76CABEA0" w:rsidR="007937C2" w:rsidRDefault="007937C2" w:rsidP="007937C2">
      <w:pPr>
        <w:rPr>
          <w:lang w:eastAsia="en-AU"/>
        </w:rPr>
      </w:pPr>
      <w:r>
        <w:rPr>
          <w:lang w:eastAsia="en-AU"/>
        </w:rPr>
        <w:t xml:space="preserve">CYLC is an Aboriginal Corporation incorporated under the </w:t>
      </w:r>
      <w:r>
        <w:rPr>
          <w:i/>
          <w:lang w:eastAsia="en-AU"/>
        </w:rPr>
        <w:t xml:space="preserve">Corporations (Aboriginal and Torres Strait Islander) Act 2006 </w:t>
      </w:r>
      <w:r>
        <w:rPr>
          <w:lang w:eastAsia="en-AU"/>
        </w:rPr>
        <w:t>(</w:t>
      </w:r>
      <w:proofErr w:type="spellStart"/>
      <w:r>
        <w:rPr>
          <w:lang w:eastAsia="en-AU"/>
        </w:rPr>
        <w:t>Cth</w:t>
      </w:r>
      <w:proofErr w:type="spellEnd"/>
      <w:r>
        <w:rPr>
          <w:lang w:eastAsia="en-AU"/>
        </w:rPr>
        <w:t>.) (</w:t>
      </w:r>
      <w:r w:rsidRPr="000C5B8A">
        <w:rPr>
          <w:i/>
          <w:lang w:eastAsia="en-AU"/>
        </w:rPr>
        <w:t>CATSI Act</w:t>
      </w:r>
      <w:r>
        <w:rPr>
          <w:lang w:eastAsia="en-AU"/>
        </w:rPr>
        <w:t xml:space="preserve">). In addition to its </w:t>
      </w:r>
      <w:r w:rsidRPr="005938AF">
        <w:rPr>
          <w:iCs/>
          <w:lang w:eastAsia="en-AU"/>
        </w:rPr>
        <w:t>NTA</w:t>
      </w:r>
      <w:r w:rsidRPr="000C5B8A">
        <w:rPr>
          <w:i/>
          <w:lang w:eastAsia="en-AU"/>
        </w:rPr>
        <w:t xml:space="preserve"> </w:t>
      </w:r>
      <w:r>
        <w:rPr>
          <w:lang w:eastAsia="en-AU"/>
        </w:rPr>
        <w:t>functions, CYLC provides cultural heritage mapping and protection, a centralised and secure repository for anthropological research and genealogies and backup copies of important documents for PBCs and resolving land administration and land tenure issues. CYLC also performs broader land council functions (e.g. responding to, implementing and advising on policy and legislation), participating in land management, and promoting home ownership and economic development on Aboriginal land.</w:t>
      </w:r>
    </w:p>
    <w:p w14:paraId="5AFFF456" w14:textId="418C27A5" w:rsidR="00E40E35" w:rsidRDefault="00E40E35" w:rsidP="007937C2">
      <w:pPr>
        <w:rPr>
          <w:lang w:eastAsia="en-AU"/>
        </w:rPr>
      </w:pPr>
      <w:r>
        <w:rPr>
          <w:lang w:eastAsia="en-AU"/>
        </w:rPr>
        <w:br w:type="page"/>
      </w:r>
    </w:p>
    <w:p w14:paraId="5FE8A568" w14:textId="432BEBB2" w:rsidR="00525012" w:rsidRPr="009958DC" w:rsidRDefault="00E5318B" w:rsidP="00525012">
      <w:pPr>
        <w:pStyle w:val="Heading1"/>
      </w:pPr>
      <w:bookmarkStart w:id="30" w:name="_Toc68070979"/>
      <w:bookmarkEnd w:id="19"/>
      <w:bookmarkEnd w:id="20"/>
      <w:bookmarkEnd w:id="21"/>
      <w:bookmarkEnd w:id="22"/>
      <w:bookmarkEnd w:id="23"/>
      <w:bookmarkEnd w:id="24"/>
      <w:bookmarkEnd w:id="25"/>
      <w:bookmarkEnd w:id="26"/>
      <w:bookmarkEnd w:id="27"/>
      <w:bookmarkEnd w:id="28"/>
      <w:r>
        <w:lastRenderedPageBreak/>
        <w:t>Findings and recommendations by Terms of Reference</w:t>
      </w:r>
      <w:bookmarkEnd w:id="30"/>
    </w:p>
    <w:p w14:paraId="734BDD14" w14:textId="3556B62B" w:rsidR="00E7728A" w:rsidRPr="009958DC" w:rsidRDefault="00E7728A" w:rsidP="00E7728A">
      <w:r w:rsidRPr="009958DC">
        <w:rPr>
          <w:lang w:eastAsia="en-AU"/>
        </w:rPr>
        <w:t xml:space="preserve">The following sections of the report provide a </w:t>
      </w:r>
      <w:r w:rsidR="009958DC" w:rsidRPr="009958DC">
        <w:rPr>
          <w:lang w:eastAsia="en-AU"/>
        </w:rPr>
        <w:t>summary</w:t>
      </w:r>
      <w:r w:rsidRPr="009958DC">
        <w:rPr>
          <w:lang w:eastAsia="en-AU"/>
        </w:rPr>
        <w:t xml:space="preserve"> of </w:t>
      </w:r>
      <w:r w:rsidR="00F23850">
        <w:rPr>
          <w:lang w:eastAsia="en-AU"/>
        </w:rPr>
        <w:t>CYLC</w:t>
      </w:r>
      <w:r w:rsidR="0039690F" w:rsidRPr="009958DC">
        <w:rPr>
          <w:lang w:eastAsia="en-AU"/>
        </w:rPr>
        <w:t>’</w:t>
      </w:r>
      <w:r w:rsidR="00F23850">
        <w:rPr>
          <w:lang w:eastAsia="en-AU"/>
        </w:rPr>
        <w:t>s</w:t>
      </w:r>
      <w:r w:rsidR="0039690F" w:rsidRPr="009958DC">
        <w:rPr>
          <w:lang w:eastAsia="en-AU"/>
        </w:rPr>
        <w:t xml:space="preserve"> performance against the T</w:t>
      </w:r>
      <w:r w:rsidRPr="009958DC">
        <w:rPr>
          <w:lang w:eastAsia="en-AU"/>
        </w:rPr>
        <w:t xml:space="preserve">erms of </w:t>
      </w:r>
      <w:r w:rsidR="0039690F" w:rsidRPr="009958DC">
        <w:rPr>
          <w:lang w:eastAsia="en-AU"/>
        </w:rPr>
        <w:t>R</w:t>
      </w:r>
      <w:r w:rsidRPr="009958DC">
        <w:rPr>
          <w:lang w:eastAsia="en-AU"/>
        </w:rPr>
        <w:t>eference for the Review</w:t>
      </w:r>
      <w:r w:rsidR="008F436A">
        <w:rPr>
          <w:lang w:eastAsia="en-AU"/>
        </w:rPr>
        <w:t>.</w:t>
      </w:r>
    </w:p>
    <w:p w14:paraId="1F9E353F" w14:textId="0EB703F9" w:rsidR="00416856" w:rsidRPr="0084761C" w:rsidRDefault="00DA55FF" w:rsidP="00D04CB7">
      <w:pPr>
        <w:pStyle w:val="Heading2"/>
      </w:pPr>
      <w:bookmarkStart w:id="31" w:name="_Ref501893080"/>
      <w:bookmarkStart w:id="32" w:name="_Toc502839777"/>
      <w:bookmarkStart w:id="33" w:name="_Toc502843253"/>
      <w:bookmarkStart w:id="34" w:name="_Toc502847616"/>
      <w:bookmarkStart w:id="35" w:name="_Toc502850760"/>
      <w:bookmarkStart w:id="36" w:name="_Toc502855192"/>
      <w:bookmarkStart w:id="37" w:name="_Toc503117091"/>
      <w:bookmarkStart w:id="38" w:name="_Toc505259168"/>
      <w:bookmarkStart w:id="39" w:name="_Toc505256235"/>
      <w:bookmarkStart w:id="40" w:name="_Toc505618278"/>
      <w:r w:rsidRPr="0084761C">
        <w:t>T</w:t>
      </w:r>
      <w:r w:rsidR="00F64BB4" w:rsidRPr="0084761C">
        <w:t>OR</w:t>
      </w:r>
      <w:r w:rsidRPr="0084761C">
        <w:t xml:space="preserve"> 1.1 </w:t>
      </w:r>
      <w:r w:rsidR="00E87CBE" w:rsidRPr="0084761C">
        <w:t xml:space="preserve">| </w:t>
      </w:r>
      <w:r w:rsidR="00EB1298" w:rsidRPr="0084761C">
        <w:t xml:space="preserve">Review and assess each organisation’s efficiency and effectiveness in performing the functions of a native title representative body over the past 3 years (with the main focus on recent performance) including: native title claim outcomes achieved for clients. </w:t>
      </w:r>
      <w:bookmarkEnd w:id="31"/>
      <w:bookmarkEnd w:id="32"/>
      <w:bookmarkEnd w:id="33"/>
      <w:bookmarkEnd w:id="34"/>
      <w:bookmarkEnd w:id="35"/>
      <w:bookmarkEnd w:id="36"/>
      <w:bookmarkEnd w:id="37"/>
      <w:bookmarkEnd w:id="38"/>
      <w:bookmarkEnd w:id="39"/>
      <w:bookmarkEnd w:id="40"/>
    </w:p>
    <w:p w14:paraId="5F1F87FF" w14:textId="77777777" w:rsidR="00451EFD" w:rsidRPr="00451EFD" w:rsidRDefault="00451EFD" w:rsidP="00451EFD">
      <w:pPr>
        <w:spacing w:after="165" w:line="259" w:lineRule="auto"/>
        <w:rPr>
          <w:rFonts w:eastAsia="Times New Roman"/>
          <w:b/>
          <w:bCs/>
          <w:color w:val="00264D" w:themeColor="background2"/>
          <w:lang w:eastAsia="en-AU"/>
        </w:rPr>
      </w:pPr>
      <w:r w:rsidRPr="00451EFD">
        <w:rPr>
          <w:rFonts w:eastAsia="Times New Roman"/>
          <w:b/>
          <w:color w:val="00264D" w:themeColor="background2"/>
          <w:lang w:eastAsia="en-AU"/>
        </w:rPr>
        <w:t>CYLC has had three consent determinations of native title over the review period, each of which found that native title exists in the entire determination area.</w:t>
      </w:r>
      <w:r w:rsidRPr="00451EFD">
        <w:rPr>
          <w:rFonts w:eastAsia="Times New Roman"/>
          <w:bCs/>
          <w:color w:val="00264D" w:themeColor="background2"/>
          <w:lang w:eastAsia="en-AU"/>
        </w:rPr>
        <w:t xml:space="preserve"> CYLC currently has three claims afoot. The reason for the relatively small number of native title determinations within the last three years has been CYLC’s focus on progressing a consent determination for the Cape York United Number 1 Claim (the One Claim) which covers approximately 50% of its RATSIB area and 95% of the land that has not yet been subject to a determination. </w:t>
      </w:r>
    </w:p>
    <w:p w14:paraId="57B130E7" w14:textId="77777777" w:rsidR="00451EFD" w:rsidRPr="00451EFD" w:rsidRDefault="00451EFD" w:rsidP="00451EFD">
      <w:pPr>
        <w:spacing w:after="165" w:line="259" w:lineRule="auto"/>
        <w:rPr>
          <w:rFonts w:eastAsia="Times New Roman"/>
          <w:b/>
          <w:bCs/>
          <w:color w:val="00264D" w:themeColor="background2"/>
          <w:lang w:eastAsia="en-AU"/>
        </w:rPr>
      </w:pPr>
      <w:r w:rsidRPr="00451EFD">
        <w:rPr>
          <w:rFonts w:eastAsia="Times New Roman"/>
          <w:bCs/>
          <w:color w:val="00264D" w:themeColor="background2"/>
          <w:lang w:eastAsia="en-AU"/>
        </w:rPr>
        <w:t xml:space="preserve">The Review notes that the One Claim has the potential to yield very positive native title outcomes to clients. CYLC as the legal representative must continue to manage the risks associated with this large claim, including covering the possibility that litigation may be necessary.  The association of the One Claim with the </w:t>
      </w:r>
      <w:proofErr w:type="spellStart"/>
      <w:r w:rsidRPr="00451EFD">
        <w:rPr>
          <w:rFonts w:eastAsia="Times New Roman"/>
          <w:bCs/>
          <w:color w:val="00264D" w:themeColor="background2"/>
          <w:lang w:eastAsia="en-AU"/>
        </w:rPr>
        <w:t>Pama</w:t>
      </w:r>
      <w:proofErr w:type="spellEnd"/>
      <w:r w:rsidRPr="00451EFD">
        <w:rPr>
          <w:rFonts w:eastAsia="Times New Roman"/>
          <w:bCs/>
          <w:color w:val="00264D" w:themeColor="background2"/>
          <w:lang w:eastAsia="en-AU"/>
        </w:rPr>
        <w:t xml:space="preserve"> Futures agenda and the distinction between the two needs to be clarified in CYLC communications.</w:t>
      </w:r>
    </w:p>
    <w:p w14:paraId="1E202A25" w14:textId="43AE0401" w:rsidR="00F64BB4" w:rsidRPr="00451EFD" w:rsidRDefault="00451EFD" w:rsidP="00451EFD">
      <w:pPr>
        <w:rPr>
          <w:color w:val="00264D" w:themeColor="background2"/>
          <w:lang w:eastAsia="en-AU"/>
        </w:rPr>
      </w:pPr>
      <w:r w:rsidRPr="00451EFD">
        <w:rPr>
          <w:rFonts w:eastAsia="Times New Roman"/>
          <w:bCs/>
          <w:color w:val="00264D" w:themeColor="background2"/>
          <w:lang w:eastAsia="en-AU"/>
        </w:rPr>
        <w:t>During the review period CYLC has also had two active sea claims, neither of which were expected to pass the registration test due to known overlaps and are continuing to be managed as required by the Federal Court. Despite future act activity in CYLC’s RATSIB area being predominantly related to marine permits, the CYLC, on advice from its Board, prioritised the Once Claim due to the strength of the anthropological reports, the immediate need to facilitate future negotiations on the lands and consideration of operational resources and priorities. CYLC has been active in concluding ILUAs over the review period. The internal review policy and processes for CYLC require some revision and could be better communicated.</w:t>
      </w:r>
    </w:p>
    <w:p w14:paraId="08CB3F05" w14:textId="77777777" w:rsidR="00240113" w:rsidRPr="008F436A" w:rsidRDefault="00240113" w:rsidP="008F436A">
      <w:pPr>
        <w:rPr>
          <w:lang w:eastAsia="en-AU"/>
        </w:rPr>
      </w:pPr>
    </w:p>
    <w:p w14:paraId="7CE41756" w14:textId="77777777" w:rsidR="00DF4810" w:rsidRPr="00451EFD" w:rsidRDefault="00DF4810" w:rsidP="00AD44D3">
      <w:pPr>
        <w:outlineLvl w:val="2"/>
        <w:rPr>
          <w:b/>
          <w:bCs/>
          <w:i/>
          <w:iCs/>
        </w:rPr>
      </w:pPr>
      <w:r w:rsidRPr="00451EFD">
        <w:rPr>
          <w:b/>
          <w:bCs/>
          <w:i/>
          <w:iCs/>
        </w:rPr>
        <w:t>Approximately 50% of CYLC’s RATSIB area is determined</w:t>
      </w:r>
    </w:p>
    <w:p w14:paraId="55603959" w14:textId="0F320B01" w:rsidR="00DF4810" w:rsidRDefault="00DF4810" w:rsidP="00DF4810">
      <w:r>
        <w:t>CYLC has a history of successful determinations and there have been 17 determinations of native title within the Cape York RATSIB area since the passage of the</w:t>
      </w:r>
      <w:r>
        <w:rPr>
          <w:iCs/>
        </w:rPr>
        <w:t xml:space="preserve"> </w:t>
      </w:r>
      <w:r w:rsidRPr="005938AF">
        <w:t>NTA</w:t>
      </w:r>
      <w:r>
        <w:t xml:space="preserve">. </w:t>
      </w:r>
    </w:p>
    <w:p w14:paraId="7303BE32" w14:textId="09B073D8" w:rsidR="00E66BC3" w:rsidRDefault="00E66BC3" w:rsidP="00E66BC3">
      <w:r>
        <w:t xml:space="preserve">Of the 17 claims that have been determined since the passage of the </w:t>
      </w:r>
      <w:r w:rsidRPr="005938AF">
        <w:rPr>
          <w:iCs/>
        </w:rPr>
        <w:t>NTA</w:t>
      </w:r>
      <w:r>
        <w:t xml:space="preserve">, 16 were determined to have native title over the entire determination area and one was determined to have native title in parts of the determination </w:t>
      </w:r>
      <w:r w:rsidRPr="00E66BC3">
        <w:t>area.  This</w:t>
      </w:r>
      <w:r>
        <w:t xml:space="preserve"> is a significantly positive native title outcome for Traditional Owners in the Cape York region.</w:t>
      </w:r>
    </w:p>
    <w:p w14:paraId="42007796" w14:textId="77777777" w:rsidR="0091669E" w:rsidRDefault="00E36BF3" w:rsidP="00052DAA">
      <w:bookmarkStart w:id="41" w:name="_Hlk530730000"/>
      <w:r>
        <w:t xml:space="preserve">Three determinations occurred between 2015/16 and 2017/18. All were consent determinations that found native title exists in the entire determination area. </w:t>
      </w:r>
      <w:bookmarkEnd w:id="41"/>
      <w:r>
        <w:t>CYLC was the solicitor on record for all three determinations.</w:t>
      </w:r>
      <w:r w:rsidR="00052DAA">
        <w:t xml:space="preserve"> </w:t>
      </w:r>
    </w:p>
    <w:p w14:paraId="7BA06541" w14:textId="49F50F32" w:rsidR="00052DAA" w:rsidRDefault="00052DAA" w:rsidP="00052DAA">
      <w:pPr>
        <w:rPr>
          <w:rFonts w:cs="Segoe UI"/>
          <w:szCs w:val="19"/>
        </w:rPr>
      </w:pPr>
      <w:r>
        <w:rPr>
          <w:lang w:eastAsia="en-AU"/>
        </w:rPr>
        <w:t xml:space="preserve">The number of determinations over the review period is relatively low. However, the Review notes the organisation’s priority has been the Cape York United Number 1 Claim (the One Claim). </w:t>
      </w:r>
      <w:r w:rsidRPr="004D7EF1">
        <w:rPr>
          <w:lang w:eastAsia="en-AU"/>
        </w:rPr>
        <w:t xml:space="preserve">This covers approximately 95% of the remaining land in CYLC’s RATSIB area which has not yet been subject to a determination (approximately 50% of the RATSIB area). </w:t>
      </w:r>
      <w:r w:rsidR="007337B0">
        <w:rPr>
          <w:rFonts w:cs="Segoe UI"/>
          <w:szCs w:val="19"/>
        </w:rPr>
        <w:t xml:space="preserve">CYLC believes that this approach of having a single </w:t>
      </w:r>
      <w:r w:rsidR="007337B0">
        <w:rPr>
          <w:rFonts w:cs="Segoe UI"/>
          <w:szCs w:val="19"/>
        </w:rPr>
        <w:lastRenderedPageBreak/>
        <w:t>claim</w:t>
      </w:r>
      <w:r w:rsidR="007337B0" w:rsidRPr="00256CE5">
        <w:rPr>
          <w:rFonts w:cs="Segoe UI"/>
          <w:szCs w:val="19"/>
        </w:rPr>
        <w:t xml:space="preserve"> may prove to be a very effective an</w:t>
      </w:r>
      <w:r w:rsidR="007337B0">
        <w:rPr>
          <w:rFonts w:cs="Segoe UI"/>
          <w:szCs w:val="19"/>
        </w:rPr>
        <w:t>d</w:t>
      </w:r>
      <w:r w:rsidR="007337B0" w:rsidRPr="00256CE5">
        <w:rPr>
          <w:rFonts w:cs="Segoe UI"/>
          <w:szCs w:val="19"/>
        </w:rPr>
        <w:t xml:space="preserve"> efficient mechanism to settle native title over the vast majority of the remaining mainland areas of Cape York.</w:t>
      </w:r>
    </w:p>
    <w:p w14:paraId="5954CE86" w14:textId="265FF29B" w:rsidR="00341462" w:rsidRPr="00341462" w:rsidRDefault="00341462" w:rsidP="00052DAA">
      <w:pPr>
        <w:rPr>
          <w:rFonts w:cs="Segoe UI"/>
          <w:szCs w:val="19"/>
        </w:rPr>
      </w:pPr>
      <w:r>
        <w:t xml:space="preserve">The One Claim has recently influenced the development of </w:t>
      </w:r>
      <w:proofErr w:type="spellStart"/>
      <w:r>
        <w:t>Pama</w:t>
      </w:r>
      <w:proofErr w:type="spellEnd"/>
      <w:r>
        <w:t xml:space="preserve"> Futures. </w:t>
      </w:r>
      <w:r w:rsidRPr="00BB4FCA">
        <w:t xml:space="preserve"> </w:t>
      </w:r>
      <w:proofErr w:type="spellStart"/>
      <w:r w:rsidRPr="00BB4FCA">
        <w:t>Pama</w:t>
      </w:r>
      <w:proofErr w:type="spellEnd"/>
      <w:r w:rsidRPr="00BB4FCA">
        <w:t xml:space="preserve"> Futures </w:t>
      </w:r>
      <w:r>
        <w:t xml:space="preserve">is a </w:t>
      </w:r>
      <w:r w:rsidRPr="00BB4FCA">
        <w:t>reform agenda</w:t>
      </w:r>
      <w:r>
        <w:t xml:space="preserve"> which has been led by CYLC and </w:t>
      </w:r>
      <w:r w:rsidRPr="00BB4FCA">
        <w:t>co-design</w:t>
      </w:r>
      <w:r>
        <w:t>ed</w:t>
      </w:r>
      <w:r w:rsidRPr="00BB4FCA">
        <w:t xml:space="preserve"> </w:t>
      </w:r>
      <w:r>
        <w:t xml:space="preserve">with </w:t>
      </w:r>
      <w:r w:rsidRPr="00BB4FCA">
        <w:t xml:space="preserve">people from across all of Cape York's communities. </w:t>
      </w:r>
      <w:r>
        <w:t xml:space="preserve"> It is focused on</w:t>
      </w:r>
      <w:r w:rsidRPr="008B5309">
        <w:rPr>
          <w:rFonts w:cs="Segoe UI"/>
          <w:szCs w:val="19"/>
        </w:rPr>
        <w:t xml:space="preserve"> </w:t>
      </w:r>
      <w:r w:rsidRPr="00256CE5">
        <w:rPr>
          <w:rFonts w:cs="Segoe UI"/>
          <w:szCs w:val="19"/>
        </w:rPr>
        <w:t xml:space="preserve">reforms that can help </w:t>
      </w:r>
      <w:r>
        <w:rPr>
          <w:rFonts w:cs="Segoe UI"/>
          <w:szCs w:val="19"/>
        </w:rPr>
        <w:t>T</w:t>
      </w:r>
      <w:r w:rsidRPr="00256CE5">
        <w:rPr>
          <w:rFonts w:cs="Segoe UI"/>
          <w:szCs w:val="19"/>
        </w:rPr>
        <w:t xml:space="preserve">raditional </w:t>
      </w:r>
      <w:r>
        <w:rPr>
          <w:rFonts w:cs="Segoe UI"/>
          <w:szCs w:val="19"/>
        </w:rPr>
        <w:t>O</w:t>
      </w:r>
      <w:r w:rsidRPr="00256CE5">
        <w:rPr>
          <w:rFonts w:cs="Segoe UI"/>
          <w:szCs w:val="19"/>
        </w:rPr>
        <w:t>wners and native title holders to use and manage their land more effectively to generate wealth (including, but not limited to</w:t>
      </w:r>
      <w:r>
        <w:rPr>
          <w:rFonts w:cs="Segoe UI"/>
          <w:szCs w:val="19"/>
        </w:rPr>
        <w:t>,</w:t>
      </w:r>
      <w:r w:rsidRPr="00256CE5">
        <w:rPr>
          <w:rFonts w:cs="Segoe UI"/>
          <w:szCs w:val="19"/>
        </w:rPr>
        <w:t xml:space="preserve"> economic wealth).</w:t>
      </w:r>
    </w:p>
    <w:p w14:paraId="48ACAD81" w14:textId="5B7D901D" w:rsidR="004214C7" w:rsidRDefault="007456A4" w:rsidP="004214C7">
      <w:pPr>
        <w:rPr>
          <w:lang w:eastAsia="en-AU"/>
        </w:rPr>
      </w:pPr>
      <w:r>
        <w:rPr>
          <w:lang w:eastAsia="en-AU"/>
        </w:rPr>
        <w:t xml:space="preserve">As at 30 June 2018, there were </w:t>
      </w:r>
      <w:r w:rsidRPr="00B45A14">
        <w:rPr>
          <w:lang w:eastAsia="en-AU"/>
        </w:rPr>
        <w:t>seven active claims</w:t>
      </w:r>
      <w:r>
        <w:rPr>
          <w:lang w:eastAsia="en-AU"/>
        </w:rPr>
        <w:t xml:space="preserve"> wholly or partially in the Cape York RATSIB area.</w:t>
      </w:r>
      <w:r w:rsidRPr="00F2297B">
        <w:rPr>
          <w:rStyle w:val="FootnoteReference"/>
          <w:lang w:eastAsia="en-AU"/>
        </w:rPr>
        <w:t xml:space="preserve"> </w:t>
      </w:r>
      <w:r>
        <w:rPr>
          <w:rStyle w:val="FootnoteReference"/>
          <w:lang w:eastAsia="en-AU"/>
        </w:rPr>
        <w:footnoteReference w:id="7"/>
      </w:r>
      <w:r>
        <w:rPr>
          <w:lang w:eastAsia="en-AU"/>
        </w:rPr>
        <w:t xml:space="preserve"> No further claims were lodged between 30 June 2018 and the end of the Review.</w:t>
      </w:r>
      <w:r w:rsidDel="00BD342A">
        <w:rPr>
          <w:lang w:eastAsia="en-AU"/>
        </w:rPr>
        <w:t xml:space="preserve"> </w:t>
      </w:r>
      <w:r>
        <w:rPr>
          <w:lang w:eastAsia="en-AU"/>
        </w:rPr>
        <w:t xml:space="preserve">CYLC acts as the representative for three of the seven claims. </w:t>
      </w:r>
      <w:r>
        <w:t xml:space="preserve">These active claims comprise one land-based claim and two sea claims. </w:t>
      </w:r>
      <w:r>
        <w:rPr>
          <w:lang w:eastAsia="en-AU"/>
        </w:rPr>
        <w:t xml:space="preserve">The three active claims are </w:t>
      </w:r>
      <w:r w:rsidRPr="00D87347">
        <w:rPr>
          <w:u w:val="single"/>
          <w:lang w:eastAsia="en-AU"/>
        </w:rPr>
        <w:t>wholly</w:t>
      </w:r>
      <w:r>
        <w:rPr>
          <w:lang w:eastAsia="en-AU"/>
        </w:rPr>
        <w:t xml:space="preserve"> in CYLC’s RATSIB area.</w:t>
      </w:r>
      <w:r w:rsidR="004214C7">
        <w:rPr>
          <w:lang w:eastAsia="en-AU"/>
        </w:rPr>
        <w:t xml:space="preserve"> </w:t>
      </w:r>
      <w:bookmarkStart w:id="42" w:name="_Hlk530730045"/>
      <w:r w:rsidR="004214C7">
        <w:rPr>
          <w:lang w:eastAsia="en-AU"/>
        </w:rPr>
        <w:t>The four remaining active claims</w:t>
      </w:r>
      <w:r w:rsidR="004214C7" w:rsidRPr="00D87347">
        <w:rPr>
          <w:lang w:eastAsia="en-AU"/>
        </w:rPr>
        <w:t xml:space="preserve"> </w:t>
      </w:r>
      <w:r w:rsidR="004214C7">
        <w:rPr>
          <w:lang w:eastAsia="en-AU"/>
        </w:rPr>
        <w:t>are only</w:t>
      </w:r>
      <w:r w:rsidR="004214C7" w:rsidRPr="00D87347">
        <w:rPr>
          <w:lang w:eastAsia="en-AU"/>
        </w:rPr>
        <w:t xml:space="preserve"> </w:t>
      </w:r>
      <w:r w:rsidR="004214C7" w:rsidRPr="00D87347">
        <w:rPr>
          <w:u w:val="single"/>
          <w:lang w:eastAsia="en-AU"/>
        </w:rPr>
        <w:t>partly</w:t>
      </w:r>
      <w:r w:rsidR="004214C7">
        <w:rPr>
          <w:lang w:eastAsia="en-AU"/>
        </w:rPr>
        <w:t xml:space="preserve"> in CYLC’s RATSIB area</w:t>
      </w:r>
      <w:bookmarkEnd w:id="42"/>
      <w:r w:rsidR="004214C7">
        <w:rPr>
          <w:lang w:eastAsia="en-AU"/>
        </w:rPr>
        <w:t xml:space="preserve">. These claims sit predominantly within the Torres Strait region or Carpentaria region, and are represented by private law firms. </w:t>
      </w:r>
    </w:p>
    <w:p w14:paraId="6784F5F4" w14:textId="5571B36C" w:rsidR="00DF4810" w:rsidRDefault="00DF4810" w:rsidP="00DF4810">
      <w:pPr>
        <w:pStyle w:val="Caption"/>
        <w:keepNext/>
        <w:tabs>
          <w:tab w:val="left" w:pos="4536"/>
        </w:tabs>
        <w:rPr>
          <w:noProof/>
        </w:rPr>
      </w:pPr>
      <w:bookmarkStart w:id="43" w:name="_Ref536619630"/>
      <w:r>
        <w:t xml:space="preserve">Figure </w:t>
      </w:r>
      <w:r>
        <w:fldChar w:fldCharType="begin"/>
      </w:r>
      <w:r>
        <w:instrText xml:space="preserve"> SEQ Figure \* ARABIC </w:instrText>
      </w:r>
      <w:r>
        <w:fldChar w:fldCharType="separate"/>
      </w:r>
      <w:r w:rsidR="00A142B7">
        <w:rPr>
          <w:noProof/>
        </w:rPr>
        <w:t>1</w:t>
      </w:r>
      <w:r>
        <w:fldChar w:fldCharType="end"/>
      </w:r>
      <w:bookmarkEnd w:id="43"/>
      <w:r>
        <w:t xml:space="preserve"> | CYLC region </w:t>
      </w:r>
      <w:r w:rsidRPr="005938AF">
        <w:t>NTA</w:t>
      </w:r>
      <w:r w:rsidRPr="7E6A3691">
        <w:rPr>
          <w:i/>
          <w:iCs/>
        </w:rPr>
        <w:t xml:space="preserve"> </w:t>
      </w:r>
      <w:r>
        <w:t>determinations</w:t>
      </w:r>
      <w:r>
        <w:rPr>
          <w:rStyle w:val="FootnoteReference"/>
        </w:rPr>
        <w:footnoteReference w:id="8"/>
      </w:r>
      <w:r>
        <w:rPr>
          <w:noProof/>
          <w:sz w:val="16"/>
          <w:szCs w:val="16"/>
        </w:rPr>
        <w:t xml:space="preserve"> </w:t>
      </w:r>
    </w:p>
    <w:p w14:paraId="72DC7DAF" w14:textId="77777777" w:rsidR="00DF4810" w:rsidRDefault="00DF4810" w:rsidP="00DF4810">
      <w:r w:rsidRPr="000E4371">
        <w:rPr>
          <w:noProof/>
          <w:lang w:eastAsia="en-AU"/>
        </w:rPr>
        <w:drawing>
          <wp:inline distT="0" distB="0" distL="0" distR="0" wp14:anchorId="0FCE9FEF" wp14:editId="44A22636">
            <wp:extent cx="3409950" cy="5313365"/>
            <wp:effectExtent l="0" t="0" r="0" b="0"/>
            <wp:docPr id="12" name="Picture 12" descr="Map&#10;&#10;CYLC Region NTA de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CYLC Region NTA determina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8841" cy="5342801"/>
                    </a:xfrm>
                    <a:prstGeom prst="rect">
                      <a:avLst/>
                    </a:prstGeom>
                    <a:noFill/>
                    <a:ln>
                      <a:noFill/>
                    </a:ln>
                  </pic:spPr>
                </pic:pic>
              </a:graphicData>
            </a:graphic>
          </wp:inline>
        </w:drawing>
      </w:r>
    </w:p>
    <w:p w14:paraId="16B695B2" w14:textId="535217B1" w:rsidR="00CE5339" w:rsidRDefault="00CE5339" w:rsidP="003E1124">
      <w:pPr>
        <w:pStyle w:val="Heading6"/>
        <w:numPr>
          <w:ilvl w:val="0"/>
          <w:numId w:val="0"/>
        </w:numPr>
      </w:pPr>
      <w:r>
        <w:br w:type="page"/>
      </w:r>
    </w:p>
    <w:p w14:paraId="7A093DEE" w14:textId="7ED04366" w:rsidR="0060147F" w:rsidRPr="00E134AE" w:rsidRDefault="0073695E" w:rsidP="00AD44D3">
      <w:pPr>
        <w:outlineLvl w:val="2"/>
        <w:rPr>
          <w:b/>
          <w:bCs/>
          <w:i/>
          <w:iCs/>
          <w:color w:val="00264D" w:themeColor="background2"/>
        </w:rPr>
      </w:pPr>
      <w:r w:rsidRPr="00E134AE">
        <w:rPr>
          <w:b/>
          <w:bCs/>
          <w:i/>
          <w:iCs/>
          <w:color w:val="00264D" w:themeColor="background2"/>
        </w:rPr>
        <w:lastRenderedPageBreak/>
        <w:t>Recommendations for TOR 1.1</w:t>
      </w:r>
    </w:p>
    <w:p w14:paraId="4E42B341" w14:textId="53871454" w:rsidR="00F64BB4" w:rsidRDefault="00F64BB4" w:rsidP="0073695E">
      <w:pPr>
        <w:rPr>
          <w:lang w:eastAsia="en-AU"/>
        </w:rPr>
      </w:pPr>
      <w:r>
        <w:rPr>
          <w:lang w:eastAsia="en-AU"/>
        </w:rPr>
        <w:t xml:space="preserve">The Review made </w:t>
      </w:r>
      <w:r w:rsidR="00CE5339">
        <w:rPr>
          <w:lang w:eastAsia="en-AU"/>
        </w:rPr>
        <w:t>four</w:t>
      </w:r>
      <w:r>
        <w:rPr>
          <w:lang w:eastAsia="en-AU"/>
        </w:rPr>
        <w:t xml:space="preserve"> recommendations for TOR 1.1 on native title outcomes achieved by clients. These are outlined below, as well as</w:t>
      </w:r>
      <w:r w:rsidR="00395A55">
        <w:rPr>
          <w:lang w:eastAsia="en-AU"/>
        </w:rPr>
        <w:t xml:space="preserve"> CYLC</w:t>
      </w:r>
      <w:r>
        <w:rPr>
          <w:lang w:eastAsia="en-AU"/>
        </w:rPr>
        <w:t>’</w:t>
      </w:r>
      <w:r w:rsidR="00395A55">
        <w:rPr>
          <w:lang w:eastAsia="en-AU"/>
        </w:rPr>
        <w:t>s</w:t>
      </w:r>
      <w:r>
        <w:rPr>
          <w:lang w:eastAsia="en-AU"/>
        </w:rPr>
        <w:t xml:space="preserve"> response to these recommendations. </w:t>
      </w:r>
    </w:p>
    <w:p w14:paraId="64B13F0C" w14:textId="77777777" w:rsidR="00131FFA" w:rsidRPr="00131FFA" w:rsidRDefault="00131FFA" w:rsidP="00AD44D3">
      <w:pPr>
        <w:shd w:val="clear" w:color="auto" w:fill="E6E6E1" w:themeFill="accent5"/>
        <w:outlineLvl w:val="3"/>
        <w:rPr>
          <w:b/>
          <w:bCs/>
          <w:color w:val="00264D" w:themeColor="background2"/>
        </w:rPr>
      </w:pPr>
      <w:r w:rsidRPr="00131FFA">
        <w:rPr>
          <w:b/>
          <w:bCs/>
          <w:color w:val="00264D" w:themeColor="background2"/>
        </w:rPr>
        <w:t>Recommendation 1</w:t>
      </w:r>
    </w:p>
    <w:p w14:paraId="7ECC9004" w14:textId="77777777" w:rsidR="00131FFA" w:rsidRPr="00131FFA" w:rsidRDefault="00131FFA" w:rsidP="00131FFA">
      <w:pPr>
        <w:shd w:val="clear" w:color="auto" w:fill="E6E6E1" w:themeFill="accent5"/>
        <w:rPr>
          <w:b/>
          <w:color w:val="00264D" w:themeColor="background2"/>
          <w:sz w:val="18"/>
        </w:rPr>
      </w:pPr>
      <w:r w:rsidRPr="00131FFA">
        <w:rPr>
          <w:color w:val="00264D" w:themeColor="background2"/>
          <w:sz w:val="18"/>
        </w:rPr>
        <w:t xml:space="preserve">CYLC should have clearer communications about the separation (and the connection) between </w:t>
      </w:r>
      <w:proofErr w:type="spellStart"/>
      <w:r w:rsidRPr="00131FFA">
        <w:rPr>
          <w:color w:val="00264D" w:themeColor="background2"/>
          <w:sz w:val="18"/>
        </w:rPr>
        <w:t>Pama</w:t>
      </w:r>
      <w:proofErr w:type="spellEnd"/>
      <w:r w:rsidRPr="00131FFA">
        <w:rPr>
          <w:color w:val="00264D" w:themeColor="background2"/>
          <w:sz w:val="18"/>
        </w:rPr>
        <w:t xml:space="preserve"> Futures and the One Claim to assist in the transparency of CYLC messaging and clarify the native title processes.</w:t>
      </w:r>
    </w:p>
    <w:p w14:paraId="08BDDAE6" w14:textId="77777777" w:rsidR="00131FFA" w:rsidRPr="00131FFA" w:rsidRDefault="00131FFA" w:rsidP="00AD44D3">
      <w:pPr>
        <w:outlineLvl w:val="4"/>
        <w:rPr>
          <w:b/>
          <w:bCs/>
          <w:color w:val="00264D" w:themeColor="background2"/>
        </w:rPr>
      </w:pPr>
      <w:r w:rsidRPr="00131FFA">
        <w:rPr>
          <w:b/>
          <w:bCs/>
          <w:color w:val="00264D" w:themeColor="background2"/>
        </w:rPr>
        <w:t xml:space="preserve">CYLC response. </w:t>
      </w:r>
    </w:p>
    <w:p w14:paraId="76835D54" w14:textId="77777777" w:rsidR="00131FFA" w:rsidRPr="00511B30" w:rsidRDefault="00131FFA" w:rsidP="00131FFA">
      <w:pPr>
        <w:rPr>
          <w:sz w:val="18"/>
        </w:rPr>
      </w:pPr>
      <w:r w:rsidRPr="00511B30">
        <w:rPr>
          <w:sz w:val="18"/>
        </w:rPr>
        <w:t xml:space="preserve">The comprehensive reform agenda being delivered in Cape York under </w:t>
      </w:r>
      <w:proofErr w:type="spellStart"/>
      <w:r w:rsidRPr="00511B30">
        <w:rPr>
          <w:sz w:val="18"/>
        </w:rPr>
        <w:t>Pama</w:t>
      </w:r>
      <w:proofErr w:type="spellEnd"/>
      <w:r w:rsidRPr="00511B30">
        <w:rPr>
          <w:sz w:val="18"/>
        </w:rPr>
        <w:t xml:space="preserve"> Futures was backed by the former Minister for Indigenous Affairs, Mr Nigel Scullion, and is also backed by his successor and Minister for Indigenous Australians, the Hon Ken Wyatt and the National Indigenous Australians Agency (formerly DPMC).  By way of context, Mr Scullion recognised that Cape York had always led the way in big, complex reform and in 2017 urged the CYLC to broaden the land reform agenda to incorporate empowerment and economic development.  </w:t>
      </w:r>
    </w:p>
    <w:p w14:paraId="28A04D10" w14:textId="77777777" w:rsidR="00131FFA" w:rsidRPr="00511B30" w:rsidRDefault="00131FFA" w:rsidP="00131FFA">
      <w:pPr>
        <w:rPr>
          <w:sz w:val="18"/>
        </w:rPr>
      </w:pPr>
      <w:r w:rsidRPr="00511B30">
        <w:rPr>
          <w:sz w:val="18"/>
        </w:rPr>
        <w:t xml:space="preserve">Mr Scullion described this reform as a model for the rest of Australia.  It was understood that while these three components of the reform work complement each other, they are also distinct, and that the only people who can make decisions about Indigenous land are the Traditional Owners of the land themselves.  </w:t>
      </w:r>
    </w:p>
    <w:p w14:paraId="28B927DF" w14:textId="77777777" w:rsidR="00131FFA" w:rsidRPr="00511B30" w:rsidRDefault="00131FFA" w:rsidP="00131FFA">
      <w:pPr>
        <w:rPr>
          <w:sz w:val="18"/>
        </w:rPr>
      </w:pPr>
      <w:r w:rsidRPr="00511B30">
        <w:rPr>
          <w:sz w:val="18"/>
        </w:rPr>
        <w:t xml:space="preserve">CYLCs communication tools (website, social media) reflect the Land Council’s performance, but extend to the </w:t>
      </w:r>
      <w:proofErr w:type="spellStart"/>
      <w:r w:rsidRPr="00511B30">
        <w:rPr>
          <w:sz w:val="18"/>
        </w:rPr>
        <w:t>Pama</w:t>
      </w:r>
      <w:proofErr w:type="spellEnd"/>
      <w:r w:rsidRPr="00511B30">
        <w:rPr>
          <w:sz w:val="18"/>
        </w:rPr>
        <w:t xml:space="preserve"> Futures reform agenda and the suite of projects being delivered to support empowerment and economic development.  CYLC provides clear written messaging, with CYU#1 newsletters only addressing claim matters.  We will continue to focus on our messaging ensuring that community members are supported to be empowered land owners with the power in their hands to create opportunities for their future.  CYLC values open, transparent messaging to the Aboriginal people of Cape York as it outlines the work being done to support their aspirations for land and sea management.</w:t>
      </w:r>
    </w:p>
    <w:p w14:paraId="26503992" w14:textId="398BE09A" w:rsidR="00F64BB4" w:rsidRPr="00131FFA" w:rsidRDefault="00F64BB4" w:rsidP="0073695E">
      <w:pPr>
        <w:rPr>
          <w:b/>
          <w:bCs/>
          <w:sz w:val="18"/>
          <w:szCs w:val="18"/>
        </w:rPr>
      </w:pPr>
    </w:p>
    <w:p w14:paraId="1D619F1E" w14:textId="77777777" w:rsidR="00131FFA" w:rsidRPr="00131FFA" w:rsidRDefault="00131FFA" w:rsidP="00AD44D3">
      <w:pPr>
        <w:shd w:val="clear" w:color="auto" w:fill="E6E6E1" w:themeFill="accent5"/>
        <w:outlineLvl w:val="3"/>
        <w:rPr>
          <w:b/>
          <w:bCs/>
          <w:color w:val="00264D" w:themeColor="background2"/>
        </w:rPr>
      </w:pPr>
      <w:r w:rsidRPr="00131FFA">
        <w:rPr>
          <w:b/>
          <w:bCs/>
          <w:color w:val="00264D" w:themeColor="background2"/>
        </w:rPr>
        <w:t>Recommendation 2</w:t>
      </w:r>
    </w:p>
    <w:p w14:paraId="4521FAFE" w14:textId="77777777" w:rsidR="00131FFA" w:rsidRPr="00131FFA" w:rsidRDefault="00131FFA" w:rsidP="00131FFA">
      <w:pPr>
        <w:shd w:val="clear" w:color="auto" w:fill="E6E6E1" w:themeFill="accent5"/>
        <w:rPr>
          <w:b/>
          <w:color w:val="00264D" w:themeColor="background2"/>
          <w:sz w:val="18"/>
        </w:rPr>
      </w:pPr>
      <w:r w:rsidRPr="00131FFA">
        <w:rPr>
          <w:color w:val="00264D" w:themeColor="background2"/>
          <w:sz w:val="18"/>
        </w:rPr>
        <w:t>CYLC should develop a transparent risk assessment and mitigation plan and conduct periodic risk assessments of the One Claim to be communicated to claimants.</w:t>
      </w:r>
    </w:p>
    <w:p w14:paraId="43A6CBD9" w14:textId="77777777" w:rsidR="00131FFA" w:rsidRPr="00BD4F9D" w:rsidRDefault="00131FFA" w:rsidP="00AD44D3">
      <w:pPr>
        <w:outlineLvl w:val="4"/>
        <w:rPr>
          <w:b/>
          <w:bCs/>
          <w:color w:val="00264D" w:themeColor="background2"/>
        </w:rPr>
      </w:pPr>
      <w:r w:rsidRPr="00BD4F9D">
        <w:rPr>
          <w:b/>
          <w:bCs/>
          <w:color w:val="00264D" w:themeColor="background2"/>
        </w:rPr>
        <w:t xml:space="preserve">CYLC response. </w:t>
      </w:r>
    </w:p>
    <w:p w14:paraId="70E71B0C" w14:textId="77777777" w:rsidR="00131FFA" w:rsidRPr="00511B30" w:rsidRDefault="00131FFA" w:rsidP="00131FFA">
      <w:pPr>
        <w:rPr>
          <w:sz w:val="18"/>
        </w:rPr>
      </w:pPr>
      <w:r w:rsidRPr="00511B30">
        <w:rPr>
          <w:sz w:val="18"/>
        </w:rPr>
        <w:t xml:space="preserve">CYLC engages competent and experienced senior counsel to provide ongoing guidance as to the conduct of the CYU#1 claim, including assessments as to the risks associated with its prosecution.  We regularly engage with Traditional Owners in relation to the advice received from counsel and advice we intend to seek on particular matters.  We have also developed additional steps to reduce risk.  </w:t>
      </w:r>
    </w:p>
    <w:p w14:paraId="6D0585AE" w14:textId="77777777" w:rsidR="00131FFA" w:rsidRPr="00511B30" w:rsidRDefault="00131FFA" w:rsidP="00131FFA">
      <w:pPr>
        <w:rPr>
          <w:sz w:val="18"/>
        </w:rPr>
      </w:pPr>
      <w:r w:rsidRPr="00511B30">
        <w:rPr>
          <w:sz w:val="18"/>
        </w:rPr>
        <w:t xml:space="preserve">The CYU#1 engagement team hold regular meetings with the Applicant to discuss progress of the claim.   These meetings are conducted either in person or via telephone and now Video Conferencing facilities.  CYLC hosts a fortnightly video conference platform where Traditional Owners can join (via Zoom) and hear regular updates.  This has involved providing resources and training members of the Applicant on </w:t>
      </w:r>
      <w:proofErr w:type="spellStart"/>
      <w:r w:rsidRPr="00511B30">
        <w:rPr>
          <w:sz w:val="18"/>
        </w:rPr>
        <w:t>ipad</w:t>
      </w:r>
      <w:proofErr w:type="spellEnd"/>
      <w:r w:rsidRPr="00511B30">
        <w:rPr>
          <w:sz w:val="18"/>
        </w:rPr>
        <w:t xml:space="preserve"> and zoom where available.  </w:t>
      </w:r>
    </w:p>
    <w:p w14:paraId="07E65AD4" w14:textId="77777777" w:rsidR="00131FFA" w:rsidRPr="00511B30" w:rsidRDefault="00131FFA" w:rsidP="00131FFA">
      <w:pPr>
        <w:rPr>
          <w:sz w:val="18"/>
        </w:rPr>
      </w:pPr>
      <w:r w:rsidRPr="00511B30">
        <w:rPr>
          <w:sz w:val="18"/>
        </w:rPr>
        <w:t xml:space="preserve">During February 2020, comprehensive consultations were held at 27 meetings across the Cape York region with Traditional Owners.  </w:t>
      </w:r>
    </w:p>
    <w:p w14:paraId="2B3718CF" w14:textId="77777777" w:rsidR="00131FFA" w:rsidRPr="00511B30" w:rsidRDefault="00131FFA" w:rsidP="00131FFA">
      <w:pPr>
        <w:rPr>
          <w:sz w:val="18"/>
        </w:rPr>
      </w:pPr>
      <w:r w:rsidRPr="00511B30">
        <w:rPr>
          <w:sz w:val="18"/>
        </w:rPr>
        <w:t>Further comprehensive consultations were planned for March and April but COVID 19 restrictions were in place.  CYLC has developed a detailed Traditional Owner Engagement Plan and consultation schedule for commencement in July 2020, COVID 19 restrictions pending.</w:t>
      </w:r>
    </w:p>
    <w:p w14:paraId="7BBF93F6" w14:textId="77777777" w:rsidR="00131FFA" w:rsidRPr="00511B30" w:rsidRDefault="00131FFA" w:rsidP="00131FFA">
      <w:pPr>
        <w:rPr>
          <w:sz w:val="18"/>
        </w:rPr>
      </w:pPr>
      <w:r w:rsidRPr="00511B30">
        <w:rPr>
          <w:sz w:val="18"/>
        </w:rPr>
        <w:t>In January 2020 we developed a detailed Traditional Owner Engagement Plan and we have recently developed a detailed consultation schedule which covers all communities in Cape York and will commence when travel restrictions are lifted.</w:t>
      </w:r>
    </w:p>
    <w:p w14:paraId="539CBBBD" w14:textId="063DDD1E" w:rsidR="00D91D84" w:rsidRDefault="00D91D84">
      <w:pPr>
        <w:spacing w:after="160" w:line="259" w:lineRule="auto"/>
        <w:rPr>
          <w:rFonts w:ascii="Segoe UI Semibold" w:eastAsia="Times New Roman" w:hAnsi="Segoe UI Semibold" w:cs="Times New Roman"/>
          <w:color w:val="00264D" w:themeColor="background2"/>
          <w:sz w:val="18"/>
          <w:szCs w:val="18"/>
          <w:lang w:eastAsia="en-AU"/>
        </w:rPr>
      </w:pPr>
    </w:p>
    <w:p w14:paraId="6A7461C7" w14:textId="77777777" w:rsidR="00BD4F9D" w:rsidRDefault="00BD4F9D">
      <w:pPr>
        <w:spacing w:after="160" w:line="259" w:lineRule="auto"/>
        <w:rPr>
          <w:rFonts w:ascii="Segoe UI Semibold" w:eastAsia="Times New Roman" w:hAnsi="Segoe UI Semibold" w:cs="Times New Roman"/>
          <w:color w:val="00264D" w:themeColor="background2"/>
          <w:sz w:val="18"/>
          <w:szCs w:val="18"/>
          <w:lang w:eastAsia="en-AU"/>
        </w:rPr>
      </w:pPr>
    </w:p>
    <w:p w14:paraId="305F4048" w14:textId="77777777" w:rsidR="00BD4F9D" w:rsidRPr="00511B30" w:rsidRDefault="00BD4F9D">
      <w:pPr>
        <w:spacing w:after="160" w:line="259" w:lineRule="auto"/>
        <w:rPr>
          <w:rFonts w:ascii="Segoe UI Semibold" w:eastAsia="Times New Roman" w:hAnsi="Segoe UI Semibold" w:cs="Times New Roman"/>
          <w:color w:val="00264D" w:themeColor="background2"/>
          <w:sz w:val="18"/>
          <w:szCs w:val="18"/>
          <w:lang w:eastAsia="en-AU"/>
        </w:rPr>
      </w:pPr>
    </w:p>
    <w:p w14:paraId="01D3943A" w14:textId="77777777" w:rsidR="00BD4F9D" w:rsidRPr="00BD4F9D" w:rsidRDefault="00BD4F9D" w:rsidP="00AD44D3">
      <w:pPr>
        <w:shd w:val="clear" w:color="auto" w:fill="E6E6E1" w:themeFill="accent5"/>
        <w:outlineLvl w:val="3"/>
        <w:rPr>
          <w:b/>
          <w:bCs/>
          <w:color w:val="00264D" w:themeColor="background2"/>
        </w:rPr>
      </w:pPr>
      <w:r w:rsidRPr="00BD4F9D">
        <w:rPr>
          <w:b/>
          <w:bCs/>
          <w:color w:val="00264D" w:themeColor="background2"/>
        </w:rPr>
        <w:lastRenderedPageBreak/>
        <w:t>Recommendation 3</w:t>
      </w:r>
    </w:p>
    <w:p w14:paraId="2CEA1B49" w14:textId="77777777" w:rsidR="00BD4F9D" w:rsidRPr="00511B30" w:rsidRDefault="00BD4F9D" w:rsidP="00BD4F9D">
      <w:pPr>
        <w:shd w:val="clear" w:color="auto" w:fill="E6E6E1" w:themeFill="accent5"/>
        <w:spacing w:after="0"/>
        <w:rPr>
          <w:b/>
          <w:sz w:val="18"/>
          <w:szCs w:val="18"/>
        </w:rPr>
      </w:pPr>
      <w:r w:rsidRPr="00511B30">
        <w:rPr>
          <w:sz w:val="18"/>
          <w:szCs w:val="18"/>
        </w:rPr>
        <w:t>CYLC should revise its internal review policy in line with best practice of other NTRB-SPs. This includes:</w:t>
      </w:r>
    </w:p>
    <w:p w14:paraId="2C258B6D" w14:textId="77777777" w:rsidR="00BD4F9D" w:rsidRPr="00511B30" w:rsidRDefault="00BD4F9D" w:rsidP="00BD4F9D">
      <w:pPr>
        <w:pStyle w:val="TableExpbullet"/>
        <w:shd w:val="clear" w:color="auto" w:fill="E6E6E1" w:themeFill="accent5"/>
        <w:rPr>
          <w:b/>
          <w:bCs/>
          <w:sz w:val="18"/>
          <w:szCs w:val="18"/>
        </w:rPr>
      </w:pPr>
      <w:r w:rsidRPr="00511B30">
        <w:rPr>
          <w:bCs/>
          <w:sz w:val="18"/>
          <w:szCs w:val="18"/>
        </w:rPr>
        <w:t>amending the process for internal review including the discretionary nature of the policy;</w:t>
      </w:r>
    </w:p>
    <w:p w14:paraId="37629F27" w14:textId="77777777" w:rsidR="00BD4F9D" w:rsidRPr="00511B30" w:rsidRDefault="00BD4F9D" w:rsidP="00BD4F9D">
      <w:pPr>
        <w:pStyle w:val="TableExpbullet"/>
        <w:shd w:val="clear" w:color="auto" w:fill="E6E6E1" w:themeFill="accent5"/>
        <w:rPr>
          <w:b/>
          <w:bCs/>
          <w:sz w:val="18"/>
          <w:szCs w:val="18"/>
        </w:rPr>
      </w:pPr>
      <w:r w:rsidRPr="00511B30">
        <w:rPr>
          <w:bCs/>
          <w:sz w:val="18"/>
          <w:szCs w:val="18"/>
        </w:rPr>
        <w:t>clearly outlining all the steps available, including external review; and</w:t>
      </w:r>
    </w:p>
    <w:p w14:paraId="5D806ABE" w14:textId="77777777" w:rsidR="00BD4F9D" w:rsidRDefault="00BD4F9D" w:rsidP="00BD4F9D">
      <w:pPr>
        <w:pStyle w:val="TableExpbullet"/>
        <w:shd w:val="clear" w:color="auto" w:fill="E6E6E1" w:themeFill="accent5"/>
        <w:rPr>
          <w:bCs/>
          <w:sz w:val="18"/>
          <w:szCs w:val="18"/>
        </w:rPr>
      </w:pPr>
      <w:r w:rsidRPr="00511B30">
        <w:rPr>
          <w:bCs/>
          <w:sz w:val="18"/>
          <w:szCs w:val="18"/>
        </w:rPr>
        <w:t>testing the updated policy with current clients to confirm it is easily understandable.</w:t>
      </w:r>
    </w:p>
    <w:p w14:paraId="00891062" w14:textId="77777777" w:rsidR="00BD4F9D" w:rsidRPr="00511B30" w:rsidRDefault="00BD4F9D" w:rsidP="00BD4F9D">
      <w:pPr>
        <w:pStyle w:val="TableExpbullet"/>
        <w:numPr>
          <w:ilvl w:val="0"/>
          <w:numId w:val="0"/>
        </w:numPr>
        <w:rPr>
          <w:bCs/>
          <w:sz w:val="18"/>
          <w:szCs w:val="18"/>
        </w:rPr>
      </w:pPr>
    </w:p>
    <w:p w14:paraId="228BD11E" w14:textId="77777777" w:rsidR="00BD4F9D" w:rsidRPr="00BD4F9D" w:rsidRDefault="00BD4F9D" w:rsidP="00AD44D3">
      <w:pPr>
        <w:outlineLvl w:val="4"/>
        <w:rPr>
          <w:b/>
          <w:bCs/>
          <w:color w:val="00264D" w:themeColor="background2"/>
        </w:rPr>
      </w:pPr>
      <w:r w:rsidRPr="00BD4F9D">
        <w:rPr>
          <w:b/>
          <w:bCs/>
          <w:color w:val="00264D" w:themeColor="background2"/>
        </w:rPr>
        <w:t xml:space="preserve">CYLC response. </w:t>
      </w:r>
    </w:p>
    <w:p w14:paraId="68E23A6C" w14:textId="77777777" w:rsidR="00BD4F9D" w:rsidRPr="00511B30" w:rsidRDefault="00BD4F9D" w:rsidP="00BD4F9D">
      <w:r w:rsidRPr="00511B30">
        <w:t xml:space="preserve">CYLC has completed an internal review of its policies.  CYLC has implemented new policies that are consistent with best practice across the sector.  The Facilitation and Assistance Policy now forms part of an updated CYLC Policy Manual.   The Facilitation and Assistance Policy outlines our role as an NTRB and the functions we perform under the Native Title Act.  It outlines the considerations that will form part of the assessment process, the matters that the decision maker must take into account in deciding whether or not to grant assistance and the procedures to follow in the event of a request for a review of the decision.  The process for internal and external reviews is now clearly articulated in the policy and the recommendation to amend the discretionary nature of the policy has been addressed.  A flowchart outlining the process is available on our website. </w:t>
      </w:r>
    </w:p>
    <w:p w14:paraId="0C6A844B" w14:textId="30760337" w:rsidR="0060147F" w:rsidRDefault="0060147F">
      <w:pPr>
        <w:spacing w:after="160" w:line="259" w:lineRule="auto"/>
        <w:rPr>
          <w:rFonts w:ascii="Segoe UI Semibold" w:eastAsia="Times New Roman" w:hAnsi="Segoe UI Semibold" w:cs="Times New Roman"/>
          <w:color w:val="00264D" w:themeColor="background2"/>
          <w:sz w:val="18"/>
          <w:szCs w:val="18"/>
          <w:lang w:eastAsia="en-AU"/>
        </w:rPr>
      </w:pPr>
    </w:p>
    <w:p w14:paraId="2FD1AF8B" w14:textId="77777777" w:rsidR="00E134AE" w:rsidRPr="00E134AE" w:rsidRDefault="00E134AE" w:rsidP="00AD44D3">
      <w:pPr>
        <w:shd w:val="clear" w:color="auto" w:fill="E6E6E1" w:themeFill="accent5"/>
        <w:spacing w:after="160" w:line="259" w:lineRule="auto"/>
        <w:outlineLvl w:val="3"/>
        <w:rPr>
          <w:rFonts w:ascii="Segoe UI Semibold" w:eastAsia="Times New Roman" w:hAnsi="Segoe UI Semibold" w:cs="Times New Roman"/>
          <w:color w:val="00264D" w:themeColor="background2"/>
          <w:sz w:val="18"/>
          <w:szCs w:val="18"/>
          <w:lang w:eastAsia="en-AU"/>
        </w:rPr>
      </w:pPr>
      <w:r w:rsidRPr="00E134AE">
        <w:rPr>
          <w:rFonts w:ascii="Segoe UI Semibold" w:eastAsia="Times New Roman" w:hAnsi="Segoe UI Semibold" w:cs="Times New Roman"/>
          <w:color w:val="00264D" w:themeColor="background2"/>
          <w:sz w:val="18"/>
          <w:szCs w:val="18"/>
          <w:lang w:eastAsia="en-AU"/>
        </w:rPr>
        <w:t>Recommendation 4</w:t>
      </w:r>
    </w:p>
    <w:p w14:paraId="0E8E4AC9" w14:textId="1A4825C4" w:rsidR="00E134AE" w:rsidRPr="00E134AE" w:rsidRDefault="00E134AE" w:rsidP="00E134AE">
      <w:pPr>
        <w:shd w:val="clear" w:color="auto" w:fill="E6E6E1" w:themeFill="accent5"/>
        <w:spacing w:after="160" w:line="259" w:lineRule="auto"/>
        <w:rPr>
          <w:rFonts w:eastAsia="Times New Roman" w:cs="Segoe UI"/>
          <w:color w:val="00264D" w:themeColor="background2"/>
          <w:sz w:val="18"/>
          <w:szCs w:val="18"/>
          <w:lang w:eastAsia="en-AU"/>
        </w:rPr>
      </w:pPr>
      <w:r w:rsidRPr="00E134AE">
        <w:rPr>
          <w:rFonts w:eastAsia="Times New Roman" w:cs="Segoe UI"/>
          <w:color w:val="00264D" w:themeColor="background2"/>
          <w:sz w:val="18"/>
          <w:szCs w:val="18"/>
          <w:lang w:eastAsia="en-AU"/>
        </w:rPr>
        <w:t>CYLC should include clear information on internal review on the website, including the organisation’s policy and the steps required to trigger an internal review process.</w:t>
      </w:r>
    </w:p>
    <w:p w14:paraId="336CE3AE" w14:textId="77777777" w:rsidR="00E134AE" w:rsidRPr="00E134AE" w:rsidRDefault="00E134AE" w:rsidP="00AD44D3">
      <w:pPr>
        <w:spacing w:after="160" w:line="259" w:lineRule="auto"/>
        <w:outlineLvl w:val="4"/>
        <w:rPr>
          <w:rFonts w:ascii="Segoe UI Semibold" w:eastAsia="Times New Roman" w:hAnsi="Segoe UI Semibold" w:cs="Times New Roman"/>
          <w:color w:val="00264D" w:themeColor="background2"/>
          <w:sz w:val="18"/>
          <w:szCs w:val="18"/>
          <w:lang w:eastAsia="en-AU"/>
        </w:rPr>
      </w:pPr>
      <w:r w:rsidRPr="00E134AE">
        <w:rPr>
          <w:rFonts w:ascii="Segoe UI Semibold" w:eastAsia="Times New Roman" w:hAnsi="Segoe UI Semibold" w:cs="Times New Roman"/>
          <w:color w:val="00264D" w:themeColor="background2"/>
          <w:sz w:val="18"/>
          <w:szCs w:val="18"/>
          <w:lang w:eastAsia="en-AU"/>
        </w:rPr>
        <w:t xml:space="preserve">CYLC response. </w:t>
      </w:r>
    </w:p>
    <w:p w14:paraId="7367476D" w14:textId="77777777" w:rsidR="00E134AE" w:rsidRPr="00E134AE" w:rsidRDefault="00E134AE" w:rsidP="00E134AE">
      <w:pPr>
        <w:spacing w:after="160" w:line="259" w:lineRule="auto"/>
        <w:rPr>
          <w:rFonts w:eastAsia="Times New Roman" w:cs="Segoe UI"/>
          <w:sz w:val="18"/>
          <w:szCs w:val="18"/>
          <w:lang w:eastAsia="en-AU"/>
        </w:rPr>
      </w:pPr>
      <w:r w:rsidRPr="00E134AE">
        <w:rPr>
          <w:rFonts w:eastAsia="Times New Roman" w:cs="Segoe UI"/>
          <w:sz w:val="18"/>
          <w:szCs w:val="18"/>
          <w:lang w:eastAsia="en-AU"/>
        </w:rPr>
        <w:t xml:space="preserve">The CYLC website is a source of information for community members, stakeholders and potential employees.  CYLC maintains an up to date website that promotes our work, latest developments in Indigenous Affairs and guides stakeholders to the organisation’s services.  </w:t>
      </w:r>
    </w:p>
    <w:p w14:paraId="079B6223" w14:textId="5C2C09CC" w:rsidR="00E134AE" w:rsidRPr="00E134AE" w:rsidRDefault="00E134AE" w:rsidP="00E134AE">
      <w:pPr>
        <w:spacing w:after="160" w:line="259" w:lineRule="auto"/>
        <w:rPr>
          <w:rFonts w:eastAsia="Times New Roman" w:cs="Segoe UI"/>
          <w:sz w:val="18"/>
          <w:szCs w:val="18"/>
          <w:lang w:eastAsia="en-AU"/>
        </w:rPr>
      </w:pPr>
      <w:r w:rsidRPr="00E134AE">
        <w:rPr>
          <w:rFonts w:eastAsia="Times New Roman" w:cs="Segoe UI"/>
          <w:sz w:val="18"/>
          <w:szCs w:val="18"/>
          <w:lang w:eastAsia="en-AU"/>
        </w:rPr>
        <w:t>The Native Title Section shares key information and provides points of contact for requests and feedback about our work.  As part of ongoing review and efficiency this site has been expanded to include guidelines and flowcharts that clearly articulate the Application for Assistance and Internal Review Process.</w:t>
      </w:r>
    </w:p>
    <w:p w14:paraId="68DF0578" w14:textId="77777777" w:rsidR="00E134AE" w:rsidRDefault="00E134AE">
      <w:pPr>
        <w:spacing w:after="160" w:line="259" w:lineRule="auto"/>
        <w:rPr>
          <w:rFonts w:ascii="Segoe UI Semibold" w:eastAsia="Times New Roman" w:hAnsi="Segoe UI Semibold" w:cs="Times New Roman"/>
          <w:color w:val="00264D" w:themeColor="background2"/>
          <w:sz w:val="18"/>
          <w:szCs w:val="18"/>
          <w:lang w:eastAsia="en-AU"/>
        </w:rPr>
      </w:pPr>
    </w:p>
    <w:p w14:paraId="476F004C" w14:textId="77777777" w:rsidR="00E134AE" w:rsidRDefault="00E134AE">
      <w:pPr>
        <w:spacing w:after="160" w:line="259" w:lineRule="auto"/>
        <w:rPr>
          <w:rFonts w:ascii="Segoe UI Semibold" w:eastAsia="Times New Roman" w:hAnsi="Segoe UI Semibold" w:cs="Times New Roman"/>
          <w:color w:val="00264D" w:themeColor="background2"/>
          <w:sz w:val="18"/>
          <w:szCs w:val="18"/>
          <w:lang w:eastAsia="en-AU"/>
        </w:rPr>
      </w:pPr>
    </w:p>
    <w:p w14:paraId="17885AC7" w14:textId="77777777" w:rsidR="00E134AE" w:rsidRPr="00511B30" w:rsidRDefault="00E134AE">
      <w:pPr>
        <w:spacing w:after="160" w:line="259" w:lineRule="auto"/>
        <w:rPr>
          <w:rFonts w:ascii="Segoe UI Semibold" w:eastAsia="Times New Roman" w:hAnsi="Segoe UI Semibold" w:cs="Times New Roman"/>
          <w:color w:val="00264D" w:themeColor="background2"/>
          <w:sz w:val="18"/>
          <w:szCs w:val="18"/>
          <w:lang w:eastAsia="en-AU"/>
        </w:rPr>
      </w:pPr>
    </w:p>
    <w:p w14:paraId="3A661545" w14:textId="77777777" w:rsidR="008F4A28" w:rsidRDefault="008F4A28">
      <w:pPr>
        <w:spacing w:after="160" w:line="259" w:lineRule="auto"/>
        <w:rPr>
          <w:rFonts w:ascii="Segoe UI Semibold" w:eastAsia="Times New Roman" w:hAnsi="Segoe UI Semibold" w:cs="Times New Roman"/>
          <w:color w:val="00264D" w:themeColor="background2"/>
          <w:sz w:val="25"/>
          <w:szCs w:val="19"/>
          <w:lang w:eastAsia="en-AU"/>
        </w:rPr>
      </w:pPr>
    </w:p>
    <w:p w14:paraId="7F16F050" w14:textId="77777777" w:rsidR="003B562A" w:rsidRDefault="003B562A">
      <w:pPr>
        <w:spacing w:after="160" w:line="259" w:lineRule="auto"/>
        <w:rPr>
          <w:rFonts w:ascii="Segoe UI Semibold" w:eastAsia="Times New Roman" w:hAnsi="Segoe UI Semibold" w:cs="Times New Roman"/>
          <w:color w:val="00264D" w:themeColor="background2"/>
          <w:sz w:val="22"/>
          <w:szCs w:val="16"/>
          <w:lang w:eastAsia="en-AU"/>
        </w:rPr>
      </w:pPr>
      <w:bookmarkStart w:id="44" w:name="_Ref500337912"/>
      <w:bookmarkStart w:id="45" w:name="_Toc502839778"/>
      <w:bookmarkStart w:id="46" w:name="_Toc502843254"/>
      <w:bookmarkStart w:id="47" w:name="_Toc502847617"/>
      <w:bookmarkStart w:id="48" w:name="_Toc502850761"/>
      <w:bookmarkStart w:id="49" w:name="_Toc502855193"/>
      <w:bookmarkStart w:id="50" w:name="_Ref502867954"/>
      <w:bookmarkStart w:id="51" w:name="_Ref502868502"/>
      <w:bookmarkStart w:id="52" w:name="_Toc503117092"/>
      <w:bookmarkStart w:id="53" w:name="_Toc505259169"/>
      <w:bookmarkStart w:id="54" w:name="_Toc505256236"/>
      <w:bookmarkStart w:id="55" w:name="_Toc505618279"/>
      <w:r>
        <w:rPr>
          <w:sz w:val="22"/>
          <w:szCs w:val="16"/>
        </w:rPr>
        <w:br w:type="page"/>
      </w:r>
    </w:p>
    <w:p w14:paraId="2B7EEA2A" w14:textId="1C51898F" w:rsidR="001C35F2" w:rsidRPr="0084761C" w:rsidRDefault="002E4BA7" w:rsidP="00BD4F9D">
      <w:pPr>
        <w:pStyle w:val="Heading2"/>
      </w:pPr>
      <w:r w:rsidRPr="0084761C">
        <w:lastRenderedPageBreak/>
        <w:t xml:space="preserve">TOR 1.2 | </w:t>
      </w:r>
      <w:r w:rsidR="00EB1298" w:rsidRPr="0084761C">
        <w:t>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bookmarkEnd w:id="44"/>
      <w:bookmarkEnd w:id="45"/>
      <w:bookmarkEnd w:id="46"/>
      <w:bookmarkEnd w:id="47"/>
      <w:bookmarkEnd w:id="48"/>
      <w:bookmarkEnd w:id="49"/>
      <w:bookmarkEnd w:id="50"/>
      <w:bookmarkEnd w:id="51"/>
      <w:bookmarkEnd w:id="52"/>
      <w:bookmarkEnd w:id="53"/>
      <w:bookmarkEnd w:id="54"/>
      <w:bookmarkEnd w:id="55"/>
    </w:p>
    <w:p w14:paraId="571CB76E" w14:textId="77777777" w:rsidR="00CD6900" w:rsidRPr="00CD6900" w:rsidRDefault="00CD6900" w:rsidP="00CD6900">
      <w:pPr>
        <w:rPr>
          <w:lang w:eastAsia="en-AU"/>
        </w:rPr>
      </w:pPr>
    </w:p>
    <w:p w14:paraId="566110F6" w14:textId="77777777" w:rsidR="00BD4F9D" w:rsidRPr="00BD4F9D" w:rsidRDefault="00BD4F9D" w:rsidP="00BD4F9D">
      <w:pPr>
        <w:shd w:val="clear" w:color="auto" w:fill="E6E6E1" w:themeFill="accent5"/>
        <w:spacing w:line="259" w:lineRule="auto"/>
        <w:rPr>
          <w:rFonts w:eastAsia="Times New Roman"/>
          <w:b/>
          <w:bCs/>
          <w:color w:val="00264D" w:themeColor="background2"/>
          <w:lang w:eastAsia="en-AU"/>
        </w:rPr>
      </w:pPr>
      <w:r w:rsidRPr="00BD4F9D">
        <w:rPr>
          <w:rFonts w:eastAsia="Times New Roman"/>
          <w:b/>
          <w:color w:val="00264D" w:themeColor="background2"/>
          <w:lang w:eastAsia="en-AU"/>
        </w:rPr>
        <w:t xml:space="preserve">CYLC has a documented and inclusive policy for accepting and prioritising applications for assistance. </w:t>
      </w:r>
      <w:r w:rsidRPr="00BD4F9D">
        <w:rPr>
          <w:rFonts w:eastAsia="Times New Roman"/>
          <w:bCs/>
          <w:color w:val="00264D" w:themeColor="background2"/>
          <w:lang w:eastAsia="en-AU"/>
        </w:rPr>
        <w:t>During the review period, CYLC has prioritised getting areas of land determined that are currently undetermined, through the One Claim. CYLC declined its only request for assistance as it related to varying an existing determination.  CYLC could improve the communication of its approach to accepting applications for assistance.</w:t>
      </w:r>
    </w:p>
    <w:p w14:paraId="36F386E0" w14:textId="65422A1A" w:rsidR="001C35F2" w:rsidRPr="00831179" w:rsidRDefault="00BD4F9D" w:rsidP="00831179">
      <w:pPr>
        <w:shd w:val="clear" w:color="auto" w:fill="E6E6E1" w:themeFill="accent5"/>
        <w:spacing w:after="0" w:line="259" w:lineRule="auto"/>
        <w:rPr>
          <w:b/>
          <w:color w:val="00264D" w:themeColor="background2"/>
        </w:rPr>
      </w:pPr>
      <w:r w:rsidRPr="00BD4F9D">
        <w:rPr>
          <w:rFonts w:eastAsia="Times New Roman"/>
          <w:bCs/>
          <w:color w:val="00264D" w:themeColor="background2"/>
          <w:lang w:eastAsia="en-AU"/>
        </w:rPr>
        <w:t>While people with native title interests in the region understand that CYLC is prioritising the One Claim, this approach has not been well received by all stakeholders. Some would prefer CYLC to prioritise their sea claims and others would prefer CYLC to consider individual applications for assistance over areas within the One Claim. Most, however, support the prioritisation of the One Claim.</w:t>
      </w:r>
    </w:p>
    <w:p w14:paraId="019E5E12" w14:textId="77777777" w:rsidR="00E134AE" w:rsidRDefault="00E134AE" w:rsidP="00E134AE">
      <w:pPr>
        <w:rPr>
          <w:b/>
          <w:bCs/>
          <w:i/>
          <w:iCs/>
          <w:color w:val="00264D" w:themeColor="background2"/>
        </w:rPr>
      </w:pPr>
    </w:p>
    <w:p w14:paraId="1608CB9A" w14:textId="6244B9F2" w:rsidR="00F64BB4" w:rsidRPr="00E134AE" w:rsidRDefault="00F64BB4" w:rsidP="00AD44D3">
      <w:pPr>
        <w:outlineLvl w:val="2"/>
        <w:rPr>
          <w:b/>
          <w:bCs/>
          <w:i/>
          <w:iCs/>
          <w:color w:val="00264D" w:themeColor="background2"/>
        </w:rPr>
      </w:pPr>
      <w:r w:rsidRPr="00E134AE">
        <w:rPr>
          <w:b/>
          <w:bCs/>
          <w:i/>
          <w:iCs/>
          <w:color w:val="00264D" w:themeColor="background2"/>
        </w:rPr>
        <w:t>Recommendations for TOR 1.</w:t>
      </w:r>
      <w:r w:rsidR="00B66147" w:rsidRPr="00E134AE">
        <w:rPr>
          <w:b/>
          <w:bCs/>
          <w:i/>
          <w:iCs/>
          <w:color w:val="00264D" w:themeColor="background2"/>
        </w:rPr>
        <w:t>2</w:t>
      </w:r>
    </w:p>
    <w:p w14:paraId="136E875D" w14:textId="73FA1708" w:rsidR="00184755" w:rsidRPr="00184755" w:rsidRDefault="00184755" w:rsidP="00184755">
      <w:pPr>
        <w:rPr>
          <w:lang w:eastAsia="en-AU"/>
        </w:rPr>
      </w:pPr>
      <w:r>
        <w:rPr>
          <w:lang w:eastAsia="en-AU"/>
        </w:rPr>
        <w:t>The Review made one recommendation for TOR 1.</w:t>
      </w:r>
      <w:r w:rsidR="00D17695">
        <w:rPr>
          <w:lang w:eastAsia="en-AU"/>
        </w:rPr>
        <w:t>2</w:t>
      </w:r>
      <w:r>
        <w:rPr>
          <w:lang w:eastAsia="en-AU"/>
        </w:rPr>
        <w:t xml:space="preserve"> on </w:t>
      </w:r>
      <w:r w:rsidR="003E305B">
        <w:rPr>
          <w:lang w:eastAsia="en-AU"/>
        </w:rPr>
        <w:t>the organisation’s assessment process</w:t>
      </w:r>
      <w:r>
        <w:rPr>
          <w:lang w:eastAsia="en-AU"/>
        </w:rPr>
        <w:t>. Th</w:t>
      </w:r>
      <w:r w:rsidR="00D215AB">
        <w:rPr>
          <w:lang w:eastAsia="en-AU"/>
        </w:rPr>
        <w:t>is is</w:t>
      </w:r>
      <w:r>
        <w:rPr>
          <w:lang w:eastAsia="en-AU"/>
        </w:rPr>
        <w:t xml:space="preserve"> outlined below, as well as CYLC’s response to th</w:t>
      </w:r>
      <w:r w:rsidR="00D215AB">
        <w:rPr>
          <w:lang w:eastAsia="en-AU"/>
        </w:rPr>
        <w:t>is</w:t>
      </w:r>
      <w:r>
        <w:rPr>
          <w:lang w:eastAsia="en-AU"/>
        </w:rPr>
        <w:t xml:space="preserve"> recommendation. </w:t>
      </w:r>
    </w:p>
    <w:p w14:paraId="5516AA5A" w14:textId="77777777" w:rsidR="00831179" w:rsidRPr="00831179" w:rsidRDefault="00831179" w:rsidP="00AD44D3">
      <w:pPr>
        <w:shd w:val="clear" w:color="auto" w:fill="E6E6E1" w:themeFill="accent5"/>
        <w:outlineLvl w:val="3"/>
        <w:rPr>
          <w:b/>
          <w:bCs/>
          <w:color w:val="00264D" w:themeColor="background2"/>
        </w:rPr>
      </w:pPr>
      <w:r w:rsidRPr="00831179">
        <w:rPr>
          <w:b/>
          <w:bCs/>
          <w:color w:val="00264D" w:themeColor="background2"/>
        </w:rPr>
        <w:t>Recommendation 5</w:t>
      </w:r>
    </w:p>
    <w:p w14:paraId="6192104A" w14:textId="77777777" w:rsidR="00831179" w:rsidRPr="00831179" w:rsidRDefault="00831179" w:rsidP="00831179">
      <w:pPr>
        <w:shd w:val="clear" w:color="auto" w:fill="E6E6E1" w:themeFill="accent5"/>
        <w:rPr>
          <w:b/>
          <w:color w:val="00264D" w:themeColor="background2"/>
          <w:sz w:val="18"/>
        </w:rPr>
      </w:pPr>
      <w:r w:rsidRPr="00831179">
        <w:rPr>
          <w:color w:val="00264D" w:themeColor="background2"/>
          <w:sz w:val="18"/>
        </w:rPr>
        <w:t>CYLC should clarify in its Policy Manual who makes the decision to grant assistance to claim groups.</w:t>
      </w:r>
    </w:p>
    <w:p w14:paraId="3B87DFAB" w14:textId="77777777" w:rsidR="00831179" w:rsidRPr="00831179" w:rsidRDefault="00831179" w:rsidP="00AD44D3">
      <w:pPr>
        <w:outlineLvl w:val="4"/>
        <w:rPr>
          <w:b/>
          <w:bCs/>
          <w:color w:val="00264D" w:themeColor="background2"/>
        </w:rPr>
      </w:pPr>
      <w:r w:rsidRPr="00831179">
        <w:rPr>
          <w:b/>
          <w:bCs/>
          <w:color w:val="00264D" w:themeColor="background2"/>
        </w:rPr>
        <w:t xml:space="preserve">CYLC response. </w:t>
      </w:r>
    </w:p>
    <w:p w14:paraId="669C7577" w14:textId="77777777" w:rsidR="00831179" w:rsidRPr="00511B30" w:rsidRDefault="00831179" w:rsidP="00831179">
      <w:pPr>
        <w:rPr>
          <w:sz w:val="18"/>
        </w:rPr>
      </w:pPr>
      <w:r w:rsidRPr="00511B30">
        <w:rPr>
          <w:sz w:val="18"/>
        </w:rPr>
        <w:t xml:space="preserve">As noted at Recommendation 3, the Facilitation and Assistance Policy forms part of an updated CYLC Policy Manual.  The policy clearly outlines the role of the decision maker, and the criteria that the decision maker must take into account in determining whether to grant assistance.  It further details the process to review this decision.  A guide to seeking assistance is available on the CYLC website. </w:t>
      </w:r>
    </w:p>
    <w:p w14:paraId="7042DD36" w14:textId="46355B80" w:rsidR="00F64BB4" w:rsidRDefault="00F64BB4" w:rsidP="00F64BB4">
      <w:pPr>
        <w:rPr>
          <w:lang w:eastAsia="en-AU"/>
        </w:rPr>
      </w:pPr>
    </w:p>
    <w:p w14:paraId="0804188B" w14:textId="2795B96F" w:rsidR="00D215AB" w:rsidRDefault="00D215AB" w:rsidP="00F64BB4">
      <w:pPr>
        <w:rPr>
          <w:lang w:eastAsia="en-AU"/>
        </w:rPr>
      </w:pPr>
      <w:r>
        <w:rPr>
          <w:lang w:eastAsia="en-AU"/>
        </w:rPr>
        <w:br w:type="page"/>
      </w:r>
    </w:p>
    <w:p w14:paraId="4D30DDA5" w14:textId="7AC4150F" w:rsidR="00EB1298" w:rsidRPr="0084761C" w:rsidRDefault="002E4BA7" w:rsidP="00831179">
      <w:pPr>
        <w:pStyle w:val="Heading2"/>
      </w:pPr>
      <w:bookmarkStart w:id="56" w:name="_Ref502726666"/>
      <w:bookmarkStart w:id="57" w:name="_Toc502839779"/>
      <w:bookmarkStart w:id="58" w:name="_Toc502843255"/>
      <w:bookmarkStart w:id="59" w:name="_Toc502847618"/>
      <w:bookmarkStart w:id="60" w:name="_Toc502850762"/>
      <w:bookmarkStart w:id="61" w:name="_Toc502855194"/>
      <w:bookmarkStart w:id="62" w:name="_Toc503117093"/>
      <w:bookmarkStart w:id="63" w:name="_Toc505259170"/>
      <w:bookmarkStart w:id="64" w:name="_Toc505256237"/>
      <w:bookmarkStart w:id="65" w:name="_Toc505618280"/>
      <w:r w:rsidRPr="0084761C">
        <w:lastRenderedPageBreak/>
        <w:t xml:space="preserve">TOR 1.3 | </w:t>
      </w:r>
      <w:r w:rsidR="00EB1298" w:rsidRPr="0084761C">
        <w:t>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bookmarkEnd w:id="56"/>
      <w:bookmarkEnd w:id="57"/>
      <w:bookmarkEnd w:id="58"/>
      <w:bookmarkEnd w:id="59"/>
      <w:bookmarkEnd w:id="60"/>
      <w:bookmarkEnd w:id="61"/>
      <w:bookmarkEnd w:id="62"/>
      <w:bookmarkEnd w:id="63"/>
      <w:bookmarkEnd w:id="64"/>
      <w:bookmarkEnd w:id="65"/>
    </w:p>
    <w:p w14:paraId="4F68E0A7" w14:textId="77777777" w:rsidR="000B7985" w:rsidRPr="000B7985" w:rsidRDefault="000B7985" w:rsidP="000B7985">
      <w:pPr>
        <w:rPr>
          <w:lang w:eastAsia="en-AU"/>
        </w:rPr>
      </w:pPr>
    </w:p>
    <w:p w14:paraId="1B6A4FB8" w14:textId="77777777" w:rsidR="00831179" w:rsidRPr="006A4992" w:rsidRDefault="00831179" w:rsidP="00831179">
      <w:pPr>
        <w:shd w:val="clear" w:color="auto" w:fill="E6E6E1" w:themeFill="accent5"/>
        <w:spacing w:after="0" w:line="259" w:lineRule="auto"/>
        <w:rPr>
          <w:rFonts w:eastAsia="Times New Roman"/>
          <w:b/>
          <w:bCs/>
          <w:lang w:eastAsia="en-AU"/>
        </w:rPr>
      </w:pPr>
      <w:r w:rsidRPr="00831179">
        <w:rPr>
          <w:rFonts w:eastAsia="Times New Roman"/>
          <w:b/>
          <w:color w:val="00264D" w:themeColor="background2"/>
          <w:shd w:val="clear" w:color="auto" w:fill="E6E6E1" w:themeFill="accent5"/>
          <w:lang w:eastAsia="en-AU"/>
        </w:rPr>
        <w:t xml:space="preserve">Clients have mixed perceptions of respectful and culturally appropriate behaviour from CYLC. For the most part, clients believe staff are genuinely respectful but there are some opportunities for improvement. </w:t>
      </w:r>
      <w:r w:rsidRPr="006A4992">
        <w:rPr>
          <w:rFonts w:eastAsia="Times New Roman"/>
          <w:bCs/>
          <w:lang w:eastAsia="en-AU"/>
        </w:rPr>
        <w:t>The Aboriginal staff from within the organisation have had mixed experiences in terms of culturally appropriate working conditions. Some are also concerned that CYLC does not have much of a presence in more remote parts of the RATSIB area after the field officers based at outposts were discontinued.</w:t>
      </w:r>
    </w:p>
    <w:p w14:paraId="58811604" w14:textId="77777777" w:rsidR="00831179" w:rsidRPr="00040629" w:rsidRDefault="00831179" w:rsidP="00831179">
      <w:pPr>
        <w:shd w:val="clear" w:color="auto" w:fill="E6E6E1" w:themeFill="accent5"/>
        <w:spacing w:after="0" w:line="259" w:lineRule="auto"/>
        <w:rPr>
          <w:b/>
        </w:rPr>
      </w:pPr>
      <w:r w:rsidRPr="006A4992">
        <w:rPr>
          <w:rFonts w:eastAsia="Times New Roman"/>
          <w:bCs/>
          <w:lang w:eastAsia="en-AU"/>
        </w:rPr>
        <w:t xml:space="preserve">CYLC is seeking to improve the transparency of its processes and progress to its clients and has improved its website, provided more information online, and regularly updates its Facebook page. However, some stakeholders who engaged with the Review are concerned that CYLC’s focus on </w:t>
      </w:r>
      <w:proofErr w:type="spellStart"/>
      <w:r w:rsidRPr="006A4992">
        <w:rPr>
          <w:rFonts w:eastAsia="Times New Roman"/>
          <w:bCs/>
          <w:lang w:eastAsia="en-AU"/>
        </w:rPr>
        <w:t>Pama</w:t>
      </w:r>
      <w:proofErr w:type="spellEnd"/>
      <w:r w:rsidRPr="006A4992">
        <w:rPr>
          <w:rFonts w:eastAsia="Times New Roman"/>
          <w:bCs/>
          <w:lang w:eastAsia="en-AU"/>
        </w:rPr>
        <w:t xml:space="preserve"> Futures distracts CYLC from progressing native title and creates confusion in the community. A clearer separation of the One Claim from </w:t>
      </w:r>
      <w:proofErr w:type="spellStart"/>
      <w:r w:rsidRPr="006A4992">
        <w:rPr>
          <w:rFonts w:eastAsia="Times New Roman"/>
          <w:bCs/>
          <w:lang w:eastAsia="en-AU"/>
        </w:rPr>
        <w:t>Pama</w:t>
      </w:r>
      <w:proofErr w:type="spellEnd"/>
      <w:r w:rsidRPr="006A4992">
        <w:rPr>
          <w:rFonts w:eastAsia="Times New Roman"/>
          <w:bCs/>
          <w:lang w:eastAsia="en-AU"/>
        </w:rPr>
        <w:t xml:space="preserve"> Futures in communications to stakeholders would increase the transparency of CYLC messaging.</w:t>
      </w:r>
    </w:p>
    <w:p w14:paraId="04336A15" w14:textId="77777777" w:rsidR="00D56755" w:rsidRDefault="00D56755" w:rsidP="00D56755">
      <w:pPr>
        <w:rPr>
          <w:lang w:eastAsia="en-AU"/>
        </w:rPr>
      </w:pPr>
    </w:p>
    <w:p w14:paraId="4379612D" w14:textId="56B2A8E1" w:rsidR="00D56755" w:rsidRPr="00E134AE" w:rsidRDefault="00D56755" w:rsidP="00AD44D3">
      <w:pPr>
        <w:outlineLvl w:val="2"/>
        <w:rPr>
          <w:b/>
          <w:bCs/>
          <w:i/>
          <w:iCs/>
          <w:color w:val="00264D" w:themeColor="background2"/>
        </w:rPr>
      </w:pPr>
      <w:r w:rsidRPr="00E134AE">
        <w:rPr>
          <w:b/>
          <w:bCs/>
          <w:i/>
          <w:iCs/>
          <w:color w:val="00264D" w:themeColor="background2"/>
        </w:rPr>
        <w:t>Recommendations</w:t>
      </w:r>
      <w:r w:rsidR="00274A34" w:rsidRPr="00E134AE">
        <w:rPr>
          <w:b/>
          <w:bCs/>
          <w:i/>
          <w:iCs/>
          <w:color w:val="00264D" w:themeColor="background2"/>
        </w:rPr>
        <w:t xml:space="preserve"> for TOR 1.3</w:t>
      </w:r>
    </w:p>
    <w:p w14:paraId="1F05B022" w14:textId="4E4C8DA3" w:rsidR="00653B39" w:rsidRPr="00653B39" w:rsidRDefault="00653B39" w:rsidP="00653B39">
      <w:pPr>
        <w:rPr>
          <w:lang w:eastAsia="en-AU"/>
        </w:rPr>
      </w:pPr>
      <w:r>
        <w:rPr>
          <w:lang w:eastAsia="en-AU"/>
        </w:rPr>
        <w:t xml:space="preserve">The Review made three recommendations for TOR 1.3 on the organisation’s </w:t>
      </w:r>
      <w:r w:rsidR="00460248">
        <w:rPr>
          <w:lang w:eastAsia="en-AU"/>
        </w:rPr>
        <w:t>approach to clients</w:t>
      </w:r>
      <w:r>
        <w:rPr>
          <w:lang w:eastAsia="en-AU"/>
        </w:rPr>
        <w:t xml:space="preserve">. These are outlined below, as well as </w:t>
      </w:r>
      <w:r w:rsidR="00AC5E35">
        <w:rPr>
          <w:lang w:eastAsia="en-AU"/>
        </w:rPr>
        <w:t>CYLC</w:t>
      </w:r>
      <w:r>
        <w:rPr>
          <w:lang w:eastAsia="en-AU"/>
        </w:rPr>
        <w:t xml:space="preserve">’s response to these recommendations. </w:t>
      </w:r>
    </w:p>
    <w:p w14:paraId="4919892A" w14:textId="77777777" w:rsidR="00831179" w:rsidRPr="00831179" w:rsidRDefault="00831179" w:rsidP="00AD44D3">
      <w:pPr>
        <w:shd w:val="clear" w:color="auto" w:fill="E6E6E1" w:themeFill="accent5"/>
        <w:outlineLvl w:val="3"/>
        <w:rPr>
          <w:b/>
          <w:bCs/>
          <w:color w:val="00264D" w:themeColor="background2"/>
        </w:rPr>
      </w:pPr>
      <w:r w:rsidRPr="00831179">
        <w:rPr>
          <w:b/>
          <w:bCs/>
          <w:color w:val="00264D" w:themeColor="background2"/>
        </w:rPr>
        <w:t>Recommendation 6</w:t>
      </w:r>
    </w:p>
    <w:p w14:paraId="73AFE00E" w14:textId="77777777" w:rsidR="00831179" w:rsidRPr="00831179" w:rsidRDefault="00831179" w:rsidP="00831179">
      <w:pPr>
        <w:shd w:val="clear" w:color="auto" w:fill="E6E6E1" w:themeFill="accent5"/>
        <w:rPr>
          <w:b/>
          <w:color w:val="00264D" w:themeColor="background2"/>
          <w:sz w:val="18"/>
        </w:rPr>
      </w:pPr>
      <w:r w:rsidRPr="00831179">
        <w:rPr>
          <w:color w:val="00264D" w:themeColor="background2"/>
          <w:sz w:val="18"/>
        </w:rPr>
        <w:t xml:space="preserve">CYLC should introduce measures across the employee lifecycle to ensure high levels of organisational cultural competence. </w:t>
      </w:r>
    </w:p>
    <w:p w14:paraId="3D336416" w14:textId="77777777" w:rsidR="00831179" w:rsidRPr="00831179" w:rsidRDefault="00831179" w:rsidP="00831179">
      <w:pPr>
        <w:shd w:val="clear" w:color="auto" w:fill="E6E6E1" w:themeFill="accent5"/>
        <w:rPr>
          <w:b/>
          <w:color w:val="00264D" w:themeColor="background2"/>
        </w:rPr>
      </w:pPr>
      <w:r w:rsidRPr="00831179">
        <w:rPr>
          <w:color w:val="00264D" w:themeColor="background2"/>
        </w:rPr>
        <w:t>This should include:</w:t>
      </w:r>
    </w:p>
    <w:p w14:paraId="77936227" w14:textId="77777777" w:rsidR="00831179" w:rsidRPr="00831179" w:rsidRDefault="00831179" w:rsidP="00831179">
      <w:pPr>
        <w:pStyle w:val="TableExpbullet"/>
        <w:shd w:val="clear" w:color="auto" w:fill="E6E6E1" w:themeFill="accent5"/>
        <w:rPr>
          <w:b/>
          <w:bCs/>
          <w:color w:val="00264D" w:themeColor="background2"/>
          <w:sz w:val="18"/>
          <w:szCs w:val="18"/>
        </w:rPr>
      </w:pPr>
      <w:r w:rsidRPr="00831179">
        <w:rPr>
          <w:bCs/>
          <w:color w:val="00264D" w:themeColor="background2"/>
          <w:sz w:val="18"/>
          <w:szCs w:val="18"/>
        </w:rPr>
        <w:t>process for reflection and continuous development of current staff members</w:t>
      </w:r>
    </w:p>
    <w:p w14:paraId="541C7D15" w14:textId="1D119A1F" w:rsidR="00B65B1B" w:rsidRPr="00B65B1B" w:rsidRDefault="00831179" w:rsidP="00831179">
      <w:pPr>
        <w:pStyle w:val="TableExpbullet"/>
        <w:shd w:val="clear" w:color="auto" w:fill="E6E6E1" w:themeFill="accent5"/>
        <w:rPr>
          <w:color w:val="00264D" w:themeColor="background2"/>
          <w:sz w:val="18"/>
          <w:szCs w:val="18"/>
        </w:rPr>
      </w:pPr>
      <w:r w:rsidRPr="00831179">
        <w:rPr>
          <w:bCs/>
          <w:color w:val="00264D" w:themeColor="background2"/>
          <w:sz w:val="18"/>
          <w:szCs w:val="18"/>
        </w:rPr>
        <w:t>consideration of succession planning for Indigenous staff members.</w:t>
      </w:r>
    </w:p>
    <w:p w14:paraId="0991C0D1" w14:textId="7B21A0A3" w:rsidR="00831179" w:rsidRPr="00B65B1B" w:rsidRDefault="00831179" w:rsidP="00AD44D3">
      <w:pPr>
        <w:outlineLvl w:val="4"/>
        <w:rPr>
          <w:b/>
          <w:bCs/>
          <w:color w:val="00264D" w:themeColor="background2"/>
        </w:rPr>
      </w:pPr>
      <w:r w:rsidRPr="00B65B1B">
        <w:rPr>
          <w:b/>
          <w:bCs/>
          <w:color w:val="00264D" w:themeColor="background2"/>
        </w:rPr>
        <w:t xml:space="preserve">CYLC response. </w:t>
      </w:r>
    </w:p>
    <w:p w14:paraId="379EC481" w14:textId="77777777" w:rsidR="00831179" w:rsidRPr="00511B30" w:rsidRDefault="00831179" w:rsidP="00B65B1B">
      <w:r w:rsidRPr="00511B30">
        <w:t xml:space="preserve">Talent development is one of the Strategic goals for CYLCs future planning.  As part of this commitment the Human Resources Coordinator has conducted an internal skills audit and development plans will be a key deliverable from this process in 2020.  </w:t>
      </w:r>
    </w:p>
    <w:p w14:paraId="60E553A4" w14:textId="77777777" w:rsidR="00831179" w:rsidRPr="00511B30" w:rsidRDefault="00831179" w:rsidP="00B65B1B">
      <w:r w:rsidRPr="00511B30">
        <w:t xml:space="preserve">Development plans will form the basis of bi-annual career planning and provide opportunities to further develop talent to ensure high levels of organisational engagement, commitment and succession planning.  The Cape York Regional Organisational network (CYLC, CYP, </w:t>
      </w:r>
      <w:proofErr w:type="spellStart"/>
      <w:r w:rsidRPr="00511B30">
        <w:t>Balkanu</w:t>
      </w:r>
      <w:proofErr w:type="spellEnd"/>
      <w:r w:rsidRPr="00511B30">
        <w:t xml:space="preserve">, </w:t>
      </w:r>
      <w:proofErr w:type="gramStart"/>
      <w:r w:rsidRPr="00511B30">
        <w:t>CYI</w:t>
      </w:r>
      <w:proofErr w:type="gramEnd"/>
      <w:r w:rsidRPr="00511B30">
        <w:t xml:space="preserve">) offers development opportunities to our team via in house development programs and through the Jawun Indigenous Corporate partnerships program.  </w:t>
      </w:r>
    </w:p>
    <w:p w14:paraId="58C69F0E" w14:textId="77777777" w:rsidR="00831179" w:rsidRPr="00511B30" w:rsidRDefault="00831179" w:rsidP="00B65B1B">
      <w:r w:rsidRPr="00511B30">
        <w:t xml:space="preserve">The CYLC Workplace Agreement outlines the CYLC Policy for Indigenous Staff Development (Clause 6.2) and the program provides opportunities including financial assistance to participate in training, scholarships for tertiary and post-tertiary qualifications and additional study leave to attain academic qualifications.  </w:t>
      </w:r>
    </w:p>
    <w:p w14:paraId="56D0CC2D" w14:textId="77777777" w:rsidR="00831179" w:rsidRPr="00511B30" w:rsidRDefault="00831179" w:rsidP="00B65B1B">
      <w:r w:rsidRPr="00511B30">
        <w:lastRenderedPageBreak/>
        <w:t>CYLC is proud of the high number of staff who identify as A</w:t>
      </w:r>
      <w:r>
        <w:t xml:space="preserve">boriginal and Torres Strait islander </w:t>
      </w:r>
      <w:r w:rsidRPr="00511B30">
        <w:t>persons, as noted in the employee profile of this Summary Report.</w:t>
      </w:r>
    </w:p>
    <w:p w14:paraId="298373D3" w14:textId="77777777" w:rsidR="00E134AE" w:rsidRPr="00E134AE" w:rsidRDefault="00E134AE" w:rsidP="00AD44D3">
      <w:pPr>
        <w:shd w:val="clear" w:color="auto" w:fill="E6E6E1" w:themeFill="accent5"/>
        <w:outlineLvl w:val="3"/>
        <w:rPr>
          <w:b/>
          <w:bCs/>
          <w:color w:val="00264D" w:themeColor="background2"/>
        </w:rPr>
      </w:pPr>
      <w:r w:rsidRPr="00E134AE">
        <w:rPr>
          <w:b/>
          <w:bCs/>
          <w:color w:val="00264D" w:themeColor="background2"/>
        </w:rPr>
        <w:t>Recommendation 7</w:t>
      </w:r>
    </w:p>
    <w:p w14:paraId="6A79A87F" w14:textId="3EC007A6" w:rsidR="0084761C" w:rsidRDefault="00E134AE" w:rsidP="00E134AE">
      <w:pPr>
        <w:shd w:val="clear" w:color="auto" w:fill="E6E6E1" w:themeFill="accent5"/>
        <w:rPr>
          <w:sz w:val="18"/>
          <w:szCs w:val="18"/>
          <w:lang w:eastAsia="en-AU"/>
        </w:rPr>
      </w:pPr>
      <w:r w:rsidRPr="00511B30">
        <w:rPr>
          <w:bCs/>
          <w:color w:val="00264D" w:themeColor="background2"/>
          <w:sz w:val="18"/>
          <w:szCs w:val="18"/>
        </w:rPr>
        <w:t>CYLC should take steps to improve its approach towards community engagement to ensure that communication with Traditional Owner groups is transparent and inclusive.</w:t>
      </w:r>
    </w:p>
    <w:p w14:paraId="2F069FD3" w14:textId="77777777" w:rsidR="00E134AE" w:rsidRPr="00E134AE" w:rsidRDefault="00E134AE" w:rsidP="00AD44D3">
      <w:pPr>
        <w:outlineLvl w:val="4"/>
        <w:rPr>
          <w:b/>
          <w:bCs/>
          <w:sz w:val="18"/>
          <w:szCs w:val="18"/>
          <w:lang w:eastAsia="en-AU"/>
        </w:rPr>
      </w:pPr>
      <w:r w:rsidRPr="00E134AE">
        <w:rPr>
          <w:b/>
          <w:bCs/>
          <w:sz w:val="18"/>
          <w:szCs w:val="18"/>
          <w:lang w:eastAsia="en-AU"/>
        </w:rPr>
        <w:t xml:space="preserve">CYLC response. </w:t>
      </w:r>
    </w:p>
    <w:p w14:paraId="2C2E1F05" w14:textId="77777777" w:rsidR="00E134AE" w:rsidRPr="00E134AE" w:rsidRDefault="00E134AE" w:rsidP="00E134AE">
      <w:pPr>
        <w:rPr>
          <w:sz w:val="18"/>
          <w:szCs w:val="18"/>
          <w:lang w:eastAsia="en-AU"/>
        </w:rPr>
      </w:pPr>
      <w:r w:rsidRPr="00E134AE">
        <w:rPr>
          <w:sz w:val="18"/>
          <w:szCs w:val="18"/>
          <w:lang w:eastAsia="en-AU"/>
        </w:rPr>
        <w:t xml:space="preserve">The CYLC has established a dedicated Community Relations and Dispute Resolution Unit (CRDRU) to support the engagement between the CYLC and Traditional Owners and to assist with the messaging of projects and activities such as The One United Claim.  The CRDRU also provides regular advice to the CYLC management team on how to improve its engagement processes, particularly with regard to cultural sensitivities around sorry business.  </w:t>
      </w:r>
    </w:p>
    <w:p w14:paraId="0068D398" w14:textId="77777777" w:rsidR="00E134AE" w:rsidRPr="00E134AE" w:rsidRDefault="00E134AE" w:rsidP="00E134AE">
      <w:pPr>
        <w:rPr>
          <w:sz w:val="18"/>
          <w:szCs w:val="18"/>
          <w:lang w:eastAsia="en-AU"/>
        </w:rPr>
      </w:pPr>
      <w:r w:rsidRPr="00E134AE">
        <w:rPr>
          <w:sz w:val="18"/>
          <w:szCs w:val="18"/>
          <w:lang w:eastAsia="en-AU"/>
        </w:rPr>
        <w:t xml:space="preserve">All staff within the CRDRU are Indigenous and have direct connections with Traditional Owner groups across the Cape.  Staff have been assigned responsibility for engaging with Traditional Owner groups from sub-regions to focus on the issues they identify through their respective Campfire conversations.  The type of issues Traditional Owners raise through their Campfire conversation relate to matters of land, lore, country, culture and custom. Campfire conversations are a mode of Cape York Traditional Owner discourse outlined in the document Ignite.  </w:t>
      </w:r>
    </w:p>
    <w:p w14:paraId="508A1A5A" w14:textId="77777777" w:rsidR="00E134AE" w:rsidRPr="00E134AE" w:rsidRDefault="00E134AE" w:rsidP="00E134AE">
      <w:pPr>
        <w:rPr>
          <w:sz w:val="18"/>
          <w:szCs w:val="18"/>
          <w:lang w:eastAsia="en-AU"/>
        </w:rPr>
      </w:pPr>
      <w:r w:rsidRPr="00E134AE">
        <w:rPr>
          <w:sz w:val="18"/>
          <w:szCs w:val="18"/>
          <w:lang w:eastAsia="en-AU"/>
        </w:rPr>
        <w:t xml:space="preserve">Staff have attained accredited mediation qualifications in Transforming Conflict - Advanced Skills in Managing Interpersonal Conflict Mediation and have participated in a master class on Advanced Mediation Skills.  These skills support Traditional Owners, helping groups unpack their concerns, listen to each other’s issues and then empowering them to identify solutions.   </w:t>
      </w:r>
    </w:p>
    <w:p w14:paraId="62919041" w14:textId="5C1336CE" w:rsidR="00E134AE" w:rsidRDefault="00E134AE" w:rsidP="0084761C">
      <w:pPr>
        <w:rPr>
          <w:sz w:val="18"/>
          <w:szCs w:val="18"/>
          <w:lang w:eastAsia="en-AU"/>
        </w:rPr>
      </w:pPr>
      <w:r w:rsidRPr="00E134AE">
        <w:rPr>
          <w:sz w:val="18"/>
          <w:szCs w:val="18"/>
          <w:lang w:eastAsia="en-AU"/>
        </w:rPr>
        <w:t>Given the vastness of remote Cape York Peninsula and limited resource availability, the CRDRU has been utilising video conferencing as an alternative and innovative way of connecting and liaising with Traditional Owner groups across the region during the COVID-19 crisis.</w:t>
      </w:r>
    </w:p>
    <w:p w14:paraId="26FDF987" w14:textId="77777777" w:rsidR="00E134AE" w:rsidRPr="00E134AE" w:rsidRDefault="00E134AE" w:rsidP="00AD44D3">
      <w:pPr>
        <w:shd w:val="clear" w:color="auto" w:fill="E6E6E1" w:themeFill="accent5"/>
        <w:outlineLvl w:val="3"/>
        <w:rPr>
          <w:b/>
          <w:bCs/>
          <w:color w:val="00264D" w:themeColor="background2"/>
          <w:sz w:val="18"/>
          <w:szCs w:val="18"/>
          <w:lang w:eastAsia="en-AU"/>
        </w:rPr>
      </w:pPr>
      <w:r w:rsidRPr="00E134AE">
        <w:rPr>
          <w:b/>
          <w:bCs/>
          <w:color w:val="00264D" w:themeColor="background2"/>
          <w:sz w:val="18"/>
          <w:szCs w:val="18"/>
          <w:lang w:eastAsia="en-AU"/>
        </w:rPr>
        <w:t>Recommendation 8</w:t>
      </w:r>
    </w:p>
    <w:p w14:paraId="3F3CEF20" w14:textId="50457F27" w:rsidR="00E134AE" w:rsidRDefault="00E134AE" w:rsidP="00E134AE">
      <w:pPr>
        <w:shd w:val="clear" w:color="auto" w:fill="E6E6E1" w:themeFill="accent5"/>
        <w:rPr>
          <w:color w:val="00264D" w:themeColor="background2"/>
          <w:sz w:val="18"/>
          <w:szCs w:val="18"/>
          <w:lang w:eastAsia="en-AU"/>
        </w:rPr>
      </w:pPr>
      <w:r w:rsidRPr="00E134AE">
        <w:rPr>
          <w:color w:val="00264D" w:themeColor="background2"/>
          <w:sz w:val="18"/>
          <w:szCs w:val="18"/>
          <w:lang w:eastAsia="en-AU"/>
        </w:rPr>
        <w:t xml:space="preserve">CYLC should create simple messages that clarify and communicate the responsibilities of </w:t>
      </w:r>
      <w:proofErr w:type="spellStart"/>
      <w:r w:rsidRPr="00E134AE">
        <w:rPr>
          <w:color w:val="00264D" w:themeColor="background2"/>
          <w:sz w:val="18"/>
          <w:szCs w:val="18"/>
          <w:lang w:eastAsia="en-AU"/>
        </w:rPr>
        <w:t>Balkanu</w:t>
      </w:r>
      <w:proofErr w:type="spellEnd"/>
      <w:r w:rsidRPr="00E134AE">
        <w:rPr>
          <w:color w:val="00264D" w:themeColor="background2"/>
          <w:sz w:val="18"/>
          <w:szCs w:val="18"/>
          <w:lang w:eastAsia="en-AU"/>
        </w:rPr>
        <w:t xml:space="preserve"> Cape York Development Corporation and CYLC to assist potential clients to approach the correct organisation and to understand what they are entitled to from each.</w:t>
      </w:r>
    </w:p>
    <w:p w14:paraId="12DBC43B" w14:textId="77777777" w:rsidR="00E134AE" w:rsidRPr="00E134AE" w:rsidRDefault="00E134AE" w:rsidP="00AD44D3">
      <w:pPr>
        <w:shd w:val="clear" w:color="auto" w:fill="FFFFFF" w:themeFill="background1"/>
        <w:outlineLvl w:val="4"/>
        <w:rPr>
          <w:b/>
          <w:bCs/>
          <w:color w:val="00264D" w:themeColor="background2"/>
          <w:sz w:val="18"/>
          <w:szCs w:val="18"/>
          <w:lang w:eastAsia="en-AU"/>
        </w:rPr>
      </w:pPr>
      <w:r w:rsidRPr="00E134AE">
        <w:rPr>
          <w:b/>
          <w:bCs/>
          <w:color w:val="00264D" w:themeColor="background2"/>
          <w:sz w:val="18"/>
          <w:szCs w:val="18"/>
          <w:lang w:eastAsia="en-AU"/>
        </w:rPr>
        <w:t xml:space="preserve">CYLC response. </w:t>
      </w:r>
    </w:p>
    <w:p w14:paraId="1403C80E" w14:textId="77777777" w:rsidR="00E134AE" w:rsidRPr="00E134AE" w:rsidRDefault="00E134AE" w:rsidP="00E134AE">
      <w:pPr>
        <w:shd w:val="clear" w:color="auto" w:fill="FFFFFF" w:themeFill="background1"/>
        <w:rPr>
          <w:sz w:val="18"/>
          <w:szCs w:val="18"/>
          <w:lang w:eastAsia="en-AU"/>
        </w:rPr>
      </w:pPr>
      <w:r w:rsidRPr="00E134AE">
        <w:rPr>
          <w:sz w:val="18"/>
          <w:szCs w:val="18"/>
          <w:lang w:eastAsia="en-AU"/>
        </w:rPr>
        <w:t xml:space="preserve">The CYLC collaborates and works in partnership with a number of its organisations, known as the Cape York Regional Organisations (CYROs) including </w:t>
      </w:r>
      <w:proofErr w:type="spellStart"/>
      <w:r w:rsidRPr="00E134AE">
        <w:rPr>
          <w:sz w:val="18"/>
          <w:szCs w:val="18"/>
          <w:lang w:eastAsia="en-AU"/>
        </w:rPr>
        <w:t>Balkanu</w:t>
      </w:r>
      <w:proofErr w:type="spellEnd"/>
      <w:r w:rsidRPr="00E134AE">
        <w:rPr>
          <w:sz w:val="18"/>
          <w:szCs w:val="18"/>
          <w:lang w:eastAsia="en-AU"/>
        </w:rPr>
        <w:t xml:space="preserve"> Cape York Development Corporation.  We collaborate in the pursuit of establishing effective Traditional Owner entities capable of supporting the management and enabling the use of Cape York Aboriginal tenure and resource rights.  </w:t>
      </w:r>
    </w:p>
    <w:p w14:paraId="701E7289" w14:textId="77777777" w:rsidR="00E134AE" w:rsidRPr="00E134AE" w:rsidRDefault="00E134AE" w:rsidP="00E134AE">
      <w:pPr>
        <w:shd w:val="clear" w:color="auto" w:fill="FFFFFF" w:themeFill="background1"/>
        <w:rPr>
          <w:sz w:val="18"/>
          <w:szCs w:val="18"/>
          <w:lang w:eastAsia="en-AU"/>
        </w:rPr>
      </w:pPr>
      <w:r w:rsidRPr="00E134AE">
        <w:rPr>
          <w:sz w:val="18"/>
          <w:szCs w:val="18"/>
          <w:lang w:eastAsia="en-AU"/>
        </w:rPr>
        <w:t xml:space="preserve">This work is complex given the variety of tenures established under State legislations and needs to be managed separately to the conversations and actions related to the determination of Native Title.  The Cape York Land Council and </w:t>
      </w:r>
      <w:proofErr w:type="spellStart"/>
      <w:r w:rsidRPr="00E134AE">
        <w:rPr>
          <w:sz w:val="18"/>
          <w:szCs w:val="18"/>
          <w:lang w:eastAsia="en-AU"/>
        </w:rPr>
        <w:t>Balkanu</w:t>
      </w:r>
      <w:proofErr w:type="spellEnd"/>
      <w:r w:rsidRPr="00E134AE">
        <w:rPr>
          <w:sz w:val="18"/>
          <w:szCs w:val="18"/>
          <w:lang w:eastAsia="en-AU"/>
        </w:rPr>
        <w:t xml:space="preserve"> Cape York Development Corporation Pty Ltd (‘</w:t>
      </w:r>
      <w:proofErr w:type="spellStart"/>
      <w:r w:rsidRPr="00E134AE">
        <w:rPr>
          <w:sz w:val="18"/>
          <w:szCs w:val="18"/>
          <w:lang w:eastAsia="en-AU"/>
        </w:rPr>
        <w:t>Balkanu</w:t>
      </w:r>
      <w:proofErr w:type="spellEnd"/>
      <w:r w:rsidRPr="00E134AE">
        <w:rPr>
          <w:sz w:val="18"/>
          <w:szCs w:val="18"/>
          <w:lang w:eastAsia="en-AU"/>
        </w:rPr>
        <w:t>’) work together to support Traditional Owners in negotiations with the State Government under the Cape York Peninsula Tenure Resolution Program (‘the Program’).</w:t>
      </w:r>
    </w:p>
    <w:p w14:paraId="5B1CED7A" w14:textId="77777777" w:rsidR="00E134AE" w:rsidRPr="00E134AE" w:rsidRDefault="00E134AE" w:rsidP="00E134AE">
      <w:pPr>
        <w:shd w:val="clear" w:color="auto" w:fill="FFFFFF" w:themeFill="background1"/>
        <w:rPr>
          <w:sz w:val="18"/>
          <w:szCs w:val="18"/>
          <w:lang w:eastAsia="en-AU"/>
        </w:rPr>
      </w:pPr>
      <w:r w:rsidRPr="00E134AE">
        <w:rPr>
          <w:sz w:val="18"/>
          <w:szCs w:val="18"/>
          <w:lang w:eastAsia="en-AU"/>
        </w:rPr>
        <w:t xml:space="preserve">The Program returns ownership and management of identified lands on Cape York Peninsula to local Traditional Owners under the Aboriginal Land Act 1991 (Qld), while ensuring the protection of Cape York Peninsula’s iconic natural areas and significant natural and cultural values.  To date, CYLC and </w:t>
      </w:r>
      <w:proofErr w:type="spellStart"/>
      <w:r w:rsidRPr="00E134AE">
        <w:rPr>
          <w:sz w:val="18"/>
          <w:szCs w:val="18"/>
          <w:lang w:eastAsia="en-AU"/>
        </w:rPr>
        <w:t>Balkanu</w:t>
      </w:r>
      <w:proofErr w:type="spellEnd"/>
      <w:r w:rsidRPr="00E134AE">
        <w:rPr>
          <w:sz w:val="18"/>
          <w:szCs w:val="18"/>
          <w:lang w:eastAsia="en-AU"/>
        </w:rPr>
        <w:t xml:space="preserve"> have negotiated the return of approximately 3, 998, 793 hectares of land to Traditional Owners.  Approximately 2, 478, 548 hectares of that total sits as Traditional Owner controlled or jointly managed Protected Areas (National Park (CYPAL) and Nature Refuges), with approximately 1, 520, 245 hectares being held as unfettered Aboriginal Freehold Land.  CYLC and </w:t>
      </w:r>
      <w:proofErr w:type="spellStart"/>
      <w:r w:rsidRPr="00E134AE">
        <w:rPr>
          <w:sz w:val="18"/>
          <w:szCs w:val="18"/>
          <w:lang w:eastAsia="en-AU"/>
        </w:rPr>
        <w:t>Balkanu</w:t>
      </w:r>
      <w:proofErr w:type="spellEnd"/>
      <w:r w:rsidRPr="00E134AE">
        <w:rPr>
          <w:sz w:val="18"/>
          <w:szCs w:val="18"/>
          <w:lang w:eastAsia="en-AU"/>
        </w:rPr>
        <w:t xml:space="preserve"> are currently negotiating the future hand back of a further 456, 000 hectares (approximately) across two Cape York regions and continue to advocate for further properties to be included in the Program for return to Traditional Owners. </w:t>
      </w:r>
    </w:p>
    <w:p w14:paraId="520032F1" w14:textId="5ADF2E1D" w:rsidR="009D16F2" w:rsidRPr="00E134AE" w:rsidRDefault="00E134AE" w:rsidP="00E134AE">
      <w:pPr>
        <w:shd w:val="clear" w:color="auto" w:fill="FFFFFF" w:themeFill="background1"/>
        <w:rPr>
          <w:sz w:val="18"/>
          <w:szCs w:val="18"/>
          <w:lang w:eastAsia="en-AU"/>
        </w:rPr>
      </w:pPr>
      <w:proofErr w:type="spellStart"/>
      <w:r w:rsidRPr="00E134AE">
        <w:rPr>
          <w:sz w:val="18"/>
          <w:szCs w:val="18"/>
          <w:lang w:eastAsia="en-AU"/>
        </w:rPr>
        <w:t>Balkanu</w:t>
      </w:r>
      <w:proofErr w:type="spellEnd"/>
      <w:r w:rsidRPr="00E134AE">
        <w:rPr>
          <w:sz w:val="18"/>
          <w:szCs w:val="18"/>
          <w:lang w:eastAsia="en-AU"/>
        </w:rPr>
        <w:t xml:space="preserve"> provides meeting facilitation and negotiation support to Traditional Owners, with legal advice and representation provided by CYLC.  This working relationship recognises more than three decades of corporate knowledge, experience and understanding of the milestones and challenges the Aboriginal people of Cape York have overcome.</w:t>
      </w:r>
      <w:r w:rsidR="009D16F2">
        <w:rPr>
          <w:lang w:eastAsia="en-AU"/>
        </w:rPr>
        <w:br w:type="page"/>
      </w:r>
    </w:p>
    <w:p w14:paraId="1BDE963C" w14:textId="3FA86629" w:rsidR="00EB1298" w:rsidRPr="0084761C" w:rsidRDefault="002E4BA7" w:rsidP="00B65B1B">
      <w:pPr>
        <w:pStyle w:val="Heading2"/>
      </w:pPr>
      <w:bookmarkStart w:id="66" w:name="_Toc501895344"/>
      <w:bookmarkStart w:id="67" w:name="_Toc502839780"/>
      <w:bookmarkStart w:id="68" w:name="_Toc502843256"/>
      <w:bookmarkStart w:id="69" w:name="_Toc502847619"/>
      <w:bookmarkStart w:id="70" w:name="_Toc502850763"/>
      <w:bookmarkStart w:id="71" w:name="_Toc502855195"/>
      <w:bookmarkStart w:id="72" w:name="_Ref502870069"/>
      <w:bookmarkStart w:id="73" w:name="_Toc503117094"/>
      <w:bookmarkStart w:id="74" w:name="_Toc505259171"/>
      <w:bookmarkStart w:id="75" w:name="_Toc505256238"/>
      <w:bookmarkStart w:id="76" w:name="_Toc505618281"/>
      <w:r w:rsidRPr="0084761C">
        <w:lastRenderedPageBreak/>
        <w:t xml:space="preserve">TOR 2 | </w:t>
      </w:r>
      <w:r w:rsidR="00EB1298" w:rsidRPr="0084761C">
        <w:t>Review and assess each organisation’s cost effectiveness in performing the functions of a native title representative body, including the key cost drivers for each organisation.</w:t>
      </w:r>
      <w:bookmarkEnd w:id="66"/>
      <w:bookmarkEnd w:id="67"/>
      <w:bookmarkEnd w:id="68"/>
      <w:bookmarkEnd w:id="69"/>
      <w:bookmarkEnd w:id="70"/>
      <w:bookmarkEnd w:id="71"/>
      <w:bookmarkEnd w:id="72"/>
      <w:bookmarkEnd w:id="73"/>
      <w:bookmarkEnd w:id="74"/>
      <w:bookmarkEnd w:id="75"/>
      <w:bookmarkEnd w:id="76"/>
    </w:p>
    <w:p w14:paraId="5AB207B4" w14:textId="77777777" w:rsidR="002F050B" w:rsidRPr="002F050B" w:rsidRDefault="002F050B" w:rsidP="002F050B">
      <w:pPr>
        <w:shd w:val="clear" w:color="auto" w:fill="E6E6E1" w:themeFill="accent5"/>
        <w:spacing w:after="0" w:line="259" w:lineRule="auto"/>
        <w:rPr>
          <w:b/>
          <w:color w:val="00264D" w:themeColor="background2"/>
        </w:rPr>
      </w:pPr>
      <w:r w:rsidRPr="002F050B">
        <w:rPr>
          <w:rFonts w:eastAsia="Times New Roman"/>
          <w:b/>
          <w:color w:val="00264D" w:themeColor="background2"/>
          <w:lang w:eastAsia="en-AU"/>
        </w:rPr>
        <w:t>Over the review period, CYLC has actively explored opportunities to reduce its costs, particularly travel costs.</w:t>
      </w:r>
      <w:r w:rsidRPr="002F050B">
        <w:rPr>
          <w:rFonts w:eastAsia="Times New Roman"/>
          <w:bCs/>
          <w:color w:val="00264D" w:themeColor="background2"/>
          <w:lang w:eastAsia="en-AU"/>
        </w:rPr>
        <w:t xml:space="preserve"> A key cost driver for CYLC is consultant costs (anthropology and legal) and expenditure on external consultants has increased over the review period. This corresponds to the progression of the One Claim through the Federal Court and the absence of an internal anthropologist for four months. The Review notes that the remoteness of much of the RATSIB area has an impact on costs, with claim group meetings requiring significant travel expenses.</w:t>
      </w:r>
    </w:p>
    <w:p w14:paraId="2BD36B10" w14:textId="77777777" w:rsidR="00247DF2" w:rsidRDefault="00247DF2" w:rsidP="00044114"/>
    <w:p w14:paraId="19C81F18" w14:textId="05551356" w:rsidR="0084761C" w:rsidRPr="00E134AE" w:rsidRDefault="0084761C" w:rsidP="00E134AE">
      <w:pPr>
        <w:rPr>
          <w:b/>
          <w:bCs/>
          <w:i/>
          <w:iCs/>
          <w:color w:val="00264D" w:themeColor="background2"/>
        </w:rPr>
      </w:pPr>
      <w:r w:rsidRPr="00E134AE">
        <w:rPr>
          <w:b/>
          <w:bCs/>
          <w:i/>
          <w:iCs/>
          <w:color w:val="00264D" w:themeColor="background2"/>
        </w:rPr>
        <w:t>No recommendations were made for TOR</w:t>
      </w:r>
      <w:r w:rsidR="00B66147" w:rsidRPr="00E134AE">
        <w:rPr>
          <w:b/>
          <w:bCs/>
          <w:i/>
          <w:iCs/>
          <w:color w:val="00264D" w:themeColor="background2"/>
        </w:rPr>
        <w:t xml:space="preserve"> </w:t>
      </w:r>
      <w:r w:rsidRPr="00E134AE">
        <w:rPr>
          <w:b/>
          <w:bCs/>
          <w:i/>
          <w:iCs/>
          <w:color w:val="00264D" w:themeColor="background2"/>
        </w:rPr>
        <w:t xml:space="preserve">2. </w:t>
      </w:r>
    </w:p>
    <w:p w14:paraId="3107DEB3" w14:textId="72000EE2" w:rsidR="00E5318B" w:rsidRDefault="00E5318B" w:rsidP="00E5318B">
      <w:pPr>
        <w:rPr>
          <w:lang w:eastAsia="en-AU"/>
        </w:rPr>
      </w:pPr>
    </w:p>
    <w:p w14:paraId="564E54C9" w14:textId="77777777" w:rsidR="00D37B9B" w:rsidRDefault="00D37B9B" w:rsidP="00044114">
      <w:bookmarkStart w:id="77" w:name="_Toc501895345"/>
      <w:bookmarkStart w:id="78" w:name="_Toc502839781"/>
      <w:bookmarkStart w:id="79" w:name="_Toc502843257"/>
      <w:bookmarkStart w:id="80" w:name="_Toc502847620"/>
      <w:bookmarkStart w:id="81" w:name="_Toc502850764"/>
      <w:bookmarkStart w:id="82" w:name="_Toc502855196"/>
      <w:bookmarkStart w:id="83" w:name="_Toc503117095"/>
      <w:bookmarkStart w:id="84" w:name="_Toc505259172"/>
      <w:bookmarkStart w:id="85" w:name="_Toc505256239"/>
      <w:bookmarkStart w:id="86" w:name="_Toc505618282"/>
    </w:p>
    <w:p w14:paraId="7BC39306" w14:textId="77777777" w:rsidR="00E90A97" w:rsidRDefault="00E90A97">
      <w:pPr>
        <w:spacing w:after="160" w:line="259" w:lineRule="auto"/>
        <w:rPr>
          <w:rFonts w:ascii="Segoe UI Semibold" w:eastAsia="Times New Roman" w:hAnsi="Segoe UI Semibold" w:cs="Times New Roman"/>
          <w:color w:val="00264D" w:themeColor="background2"/>
          <w:sz w:val="22"/>
          <w:szCs w:val="16"/>
          <w:lang w:eastAsia="en-AU"/>
        </w:rPr>
      </w:pPr>
      <w:r>
        <w:rPr>
          <w:sz w:val="22"/>
          <w:szCs w:val="16"/>
        </w:rPr>
        <w:br w:type="page"/>
      </w:r>
    </w:p>
    <w:p w14:paraId="0D40D0DA" w14:textId="7C7DA8D9" w:rsidR="00810B33" w:rsidRDefault="002E4BA7" w:rsidP="00044114">
      <w:pPr>
        <w:pStyle w:val="Heading2"/>
      </w:pPr>
      <w:r w:rsidRPr="0084761C">
        <w:lastRenderedPageBreak/>
        <w:t xml:space="preserve">TOR 3 | </w:t>
      </w:r>
      <w:r w:rsidR="00EB1298" w:rsidRPr="0084761C">
        <w:t xml:space="preserve">Review and assess each organisation’s strategies for driving and tracking its achievement against key performance indicators in its funding agreement with </w:t>
      </w:r>
      <w:bookmarkEnd w:id="77"/>
      <w:bookmarkEnd w:id="78"/>
      <w:bookmarkEnd w:id="79"/>
      <w:bookmarkEnd w:id="80"/>
      <w:bookmarkEnd w:id="81"/>
      <w:bookmarkEnd w:id="82"/>
      <w:bookmarkEnd w:id="83"/>
      <w:bookmarkEnd w:id="84"/>
      <w:bookmarkEnd w:id="85"/>
      <w:bookmarkEnd w:id="86"/>
      <w:r w:rsidR="002C3710" w:rsidRPr="0084761C">
        <w:t>the NIAA</w:t>
      </w:r>
      <w:r w:rsidRPr="0084761C">
        <w:t>.</w:t>
      </w:r>
    </w:p>
    <w:p w14:paraId="1A9C2B21" w14:textId="77777777" w:rsidR="0084761C" w:rsidRPr="00044114" w:rsidRDefault="0084761C" w:rsidP="0084761C">
      <w:pPr>
        <w:rPr>
          <w:b/>
          <w:lang w:eastAsia="en-AU"/>
        </w:rPr>
      </w:pPr>
    </w:p>
    <w:p w14:paraId="4D9B9F23" w14:textId="77777777" w:rsidR="00044114" w:rsidRPr="00044114" w:rsidRDefault="00044114" w:rsidP="00044114">
      <w:pPr>
        <w:shd w:val="clear" w:color="auto" w:fill="E6E6E1" w:themeFill="accent5"/>
        <w:spacing w:after="0" w:line="259" w:lineRule="auto"/>
        <w:rPr>
          <w:b/>
          <w:color w:val="00264D" w:themeColor="background2"/>
        </w:rPr>
      </w:pPr>
      <w:r w:rsidRPr="00044114">
        <w:rPr>
          <w:rFonts w:eastAsia="Times New Roman"/>
          <w:b/>
          <w:color w:val="00264D" w:themeColor="background2"/>
          <w:lang w:eastAsia="en-AU"/>
        </w:rPr>
        <w:t>CYLC’s senior management team monitors the achievement of performance against milestones in CYLC’s funding agreement with the NIAA.</w:t>
      </w:r>
      <w:r w:rsidRPr="00044114">
        <w:rPr>
          <w:rFonts w:eastAsia="Times New Roman"/>
          <w:bCs/>
          <w:color w:val="00264D" w:themeColor="background2"/>
          <w:lang w:eastAsia="en-AU"/>
        </w:rPr>
        <w:t xml:space="preserve"> CYLC also uses a range of internal strategies for driving and tracking performance, including weekly and monthly monitoring of KPIs.</w:t>
      </w:r>
    </w:p>
    <w:p w14:paraId="1F11C9C4" w14:textId="77777777" w:rsidR="007532E7" w:rsidRDefault="007532E7" w:rsidP="007532E7">
      <w:pPr>
        <w:rPr>
          <w:lang w:eastAsia="en-AU"/>
        </w:rPr>
      </w:pPr>
    </w:p>
    <w:p w14:paraId="08762578" w14:textId="791E2939" w:rsidR="007532E7" w:rsidRPr="00E134AE" w:rsidRDefault="000C31F2" w:rsidP="00E134AE">
      <w:pPr>
        <w:rPr>
          <w:b/>
          <w:bCs/>
          <w:i/>
          <w:iCs/>
          <w:color w:val="00264D" w:themeColor="background2"/>
        </w:rPr>
      </w:pPr>
      <w:r w:rsidRPr="00E134AE">
        <w:rPr>
          <w:b/>
          <w:bCs/>
          <w:i/>
          <w:iCs/>
          <w:color w:val="00264D" w:themeColor="background2"/>
        </w:rPr>
        <w:t>No r</w:t>
      </w:r>
      <w:r w:rsidR="007532E7" w:rsidRPr="00E134AE">
        <w:rPr>
          <w:b/>
          <w:bCs/>
          <w:i/>
          <w:iCs/>
          <w:color w:val="00264D" w:themeColor="background2"/>
        </w:rPr>
        <w:t>ecommendations</w:t>
      </w:r>
      <w:r w:rsidR="00274A34" w:rsidRPr="00E134AE">
        <w:rPr>
          <w:b/>
          <w:bCs/>
          <w:i/>
          <w:iCs/>
          <w:color w:val="00264D" w:themeColor="background2"/>
        </w:rPr>
        <w:t xml:space="preserve"> </w:t>
      </w:r>
      <w:r w:rsidRPr="00E134AE">
        <w:rPr>
          <w:b/>
          <w:bCs/>
          <w:i/>
          <w:iCs/>
          <w:color w:val="00264D" w:themeColor="background2"/>
        </w:rPr>
        <w:t xml:space="preserve">were made </w:t>
      </w:r>
      <w:r w:rsidR="00274A34" w:rsidRPr="00E134AE">
        <w:rPr>
          <w:b/>
          <w:bCs/>
          <w:i/>
          <w:iCs/>
          <w:color w:val="00264D" w:themeColor="background2"/>
        </w:rPr>
        <w:t>for TOR 3</w:t>
      </w:r>
      <w:r w:rsidR="001E1E39" w:rsidRPr="00E134AE">
        <w:rPr>
          <w:b/>
          <w:bCs/>
          <w:i/>
          <w:iCs/>
          <w:color w:val="00264D" w:themeColor="background2"/>
        </w:rPr>
        <w:t>.</w:t>
      </w:r>
    </w:p>
    <w:p w14:paraId="614C5AA1" w14:textId="6B28699F" w:rsidR="00276B8E" w:rsidRDefault="00276B8E" w:rsidP="00D809AE"/>
    <w:p w14:paraId="0868F9A4" w14:textId="383A83AC" w:rsidR="009D16F2" w:rsidRDefault="009D16F2" w:rsidP="00D809AE">
      <w:r>
        <w:br w:type="page"/>
      </w:r>
    </w:p>
    <w:p w14:paraId="455FF01D" w14:textId="3E3037E9" w:rsidR="00EB1298" w:rsidRPr="0084761C" w:rsidRDefault="002E4BA7" w:rsidP="00044114">
      <w:pPr>
        <w:pStyle w:val="Heading2"/>
      </w:pPr>
      <w:bookmarkStart w:id="87" w:name="_Toc501895346"/>
      <w:bookmarkStart w:id="88" w:name="_Toc502839782"/>
      <w:bookmarkStart w:id="89" w:name="_Toc502843258"/>
      <w:bookmarkStart w:id="90" w:name="_Toc502847621"/>
      <w:bookmarkStart w:id="91" w:name="_Toc502850765"/>
      <w:bookmarkStart w:id="92" w:name="_Toc502855197"/>
      <w:bookmarkStart w:id="93" w:name="_Ref502870747"/>
      <w:bookmarkStart w:id="94" w:name="_Ref502909938"/>
      <w:bookmarkStart w:id="95" w:name="_Toc503117096"/>
      <w:bookmarkStart w:id="96" w:name="_Toc505259173"/>
      <w:bookmarkStart w:id="97" w:name="_Toc505256240"/>
      <w:bookmarkStart w:id="98" w:name="_Ref505607381"/>
      <w:bookmarkStart w:id="99" w:name="_Toc505618283"/>
      <w:r w:rsidRPr="0084761C">
        <w:lastRenderedPageBreak/>
        <w:t xml:space="preserve">TOR 4 | </w:t>
      </w:r>
      <w:r w:rsidR="00EB1298" w:rsidRPr="0084761C">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87"/>
      <w:bookmarkEnd w:id="88"/>
      <w:bookmarkEnd w:id="89"/>
      <w:bookmarkEnd w:id="90"/>
      <w:bookmarkEnd w:id="91"/>
      <w:bookmarkEnd w:id="92"/>
      <w:bookmarkEnd w:id="93"/>
      <w:bookmarkEnd w:id="94"/>
      <w:bookmarkEnd w:id="95"/>
      <w:bookmarkEnd w:id="96"/>
      <w:bookmarkEnd w:id="97"/>
      <w:bookmarkEnd w:id="98"/>
      <w:bookmarkEnd w:id="99"/>
    </w:p>
    <w:p w14:paraId="125F7B22" w14:textId="7F755E3E" w:rsidR="00771CAE" w:rsidRDefault="00771CAE" w:rsidP="00771CAE">
      <w:pPr>
        <w:rPr>
          <w:lang w:eastAsia="en-AU"/>
        </w:rPr>
      </w:pPr>
    </w:p>
    <w:p w14:paraId="3275527B" w14:textId="77777777" w:rsidR="00044114" w:rsidRPr="00044114" w:rsidRDefault="00044114" w:rsidP="00044114">
      <w:pPr>
        <w:shd w:val="clear" w:color="auto" w:fill="E6E6E1" w:themeFill="accent5"/>
        <w:spacing w:line="259" w:lineRule="auto"/>
        <w:rPr>
          <w:rFonts w:eastAsia="Times New Roman"/>
          <w:b/>
          <w:color w:val="00264D" w:themeColor="background2"/>
          <w:lang w:eastAsia="en-AU"/>
        </w:rPr>
      </w:pPr>
      <w:r w:rsidRPr="00044114">
        <w:rPr>
          <w:rFonts w:eastAsia="Times New Roman"/>
          <w:b/>
          <w:color w:val="00264D" w:themeColor="background2"/>
          <w:lang w:eastAsia="en-AU"/>
        </w:rPr>
        <w:t xml:space="preserve">CYLC’s representative Board sets the strategic vision for the organisation and is supported by CYLC’s executive to implement the vision for a united Cape York. </w:t>
      </w:r>
    </w:p>
    <w:p w14:paraId="59EA1405" w14:textId="77777777" w:rsidR="00044114" w:rsidRPr="00044114" w:rsidRDefault="00044114" w:rsidP="00044114">
      <w:pPr>
        <w:shd w:val="clear" w:color="auto" w:fill="E6E6E1" w:themeFill="accent5"/>
        <w:spacing w:line="259" w:lineRule="auto"/>
        <w:rPr>
          <w:rFonts w:eastAsia="Times New Roman"/>
          <w:b/>
          <w:bCs/>
          <w:color w:val="00264D" w:themeColor="background2"/>
          <w:lang w:eastAsia="en-AU"/>
        </w:rPr>
      </w:pPr>
      <w:r w:rsidRPr="00044114">
        <w:rPr>
          <w:rFonts w:eastAsia="Times New Roman"/>
          <w:bCs/>
          <w:color w:val="00264D" w:themeColor="background2"/>
          <w:lang w:eastAsia="en-AU"/>
        </w:rPr>
        <w:t xml:space="preserve">The breakdown of responsibilities between CYLC’s Board and CYLC’s executive is clearly defined. The breakdown of individual roles amongst senior managers is less well defined. Under the current organisational structure, the roles of the CEO, Deputy CEO and the Finance Manager overlap to form a non-traditional governance model. A business case for a restructure of CYLC’s governance model is expected in 2019. </w:t>
      </w:r>
    </w:p>
    <w:p w14:paraId="040EEDC5" w14:textId="77777777" w:rsidR="00044114" w:rsidRPr="00044114" w:rsidRDefault="00044114" w:rsidP="00044114">
      <w:pPr>
        <w:shd w:val="clear" w:color="auto" w:fill="E6E6E1" w:themeFill="accent5"/>
        <w:spacing w:line="259" w:lineRule="auto"/>
        <w:rPr>
          <w:rFonts w:eastAsia="Times New Roman"/>
          <w:b/>
          <w:bCs/>
          <w:color w:val="00264D" w:themeColor="background2"/>
          <w:lang w:eastAsia="en-AU"/>
        </w:rPr>
      </w:pPr>
      <w:r w:rsidRPr="00044114">
        <w:rPr>
          <w:rFonts w:eastAsia="Times New Roman"/>
          <w:bCs/>
          <w:color w:val="00264D" w:themeColor="background2"/>
          <w:lang w:eastAsia="en-AU"/>
        </w:rPr>
        <w:t>CYLC also has a non-traditional approach to financial management where the CEO has responsibilities that would usually be performed by a CFO, with a finance manager undertaking the day to day management of the finances. This structure appears to leverage the capabilities and qualifications of current staff given the CEO is a CPA.  The Review notes that this structure has been in place since well before the review period and has not been the subject of any unfavourable audits or reviews.  However the relevant risks should continue to be monitored and managed.  Some stakeholders have raised concerns to the Review about the CEO having a conflict of interest due to his ownership of a financial services business that provides services to some of CYLC’s clients in Cape York. CYLC has outlined it is aware of such concerns and that there is no conflict in relation to native title matters and the issues is managed with transparency.</w:t>
      </w:r>
    </w:p>
    <w:p w14:paraId="4BC44BE6" w14:textId="77777777" w:rsidR="00044114" w:rsidRPr="00044114" w:rsidRDefault="00044114" w:rsidP="00044114">
      <w:pPr>
        <w:shd w:val="clear" w:color="auto" w:fill="E6E6E1" w:themeFill="accent5"/>
        <w:spacing w:after="0" w:line="259" w:lineRule="auto"/>
        <w:rPr>
          <w:b/>
          <w:color w:val="00264D" w:themeColor="background2"/>
        </w:rPr>
      </w:pPr>
      <w:r w:rsidRPr="00044114">
        <w:rPr>
          <w:rFonts w:eastAsia="Times New Roman"/>
          <w:bCs/>
          <w:color w:val="00264D" w:themeColor="background2"/>
          <w:lang w:eastAsia="en-AU"/>
        </w:rPr>
        <w:t>CYLC staff generally find CYLC a positive place to work, with training and professional development offered to staff. Complaints against the organisation have largely originated from groups that do not agree with the One Claim.</w:t>
      </w:r>
    </w:p>
    <w:p w14:paraId="5A376BE4" w14:textId="77777777" w:rsidR="00F00DA4" w:rsidRDefault="00F00DA4" w:rsidP="00F00DA4">
      <w:pPr>
        <w:rPr>
          <w:lang w:eastAsia="en-AU"/>
        </w:rPr>
      </w:pPr>
    </w:p>
    <w:p w14:paraId="1B32EB0D" w14:textId="16E17F28" w:rsidR="00F00DA4" w:rsidRPr="00E134AE" w:rsidRDefault="00F00DA4" w:rsidP="00C55B7B">
      <w:pPr>
        <w:outlineLvl w:val="2"/>
        <w:rPr>
          <w:b/>
          <w:bCs/>
          <w:i/>
          <w:iCs/>
          <w:color w:val="00264D" w:themeColor="background2"/>
        </w:rPr>
      </w:pPr>
      <w:r w:rsidRPr="00E134AE">
        <w:rPr>
          <w:b/>
          <w:bCs/>
          <w:i/>
          <w:iCs/>
          <w:color w:val="00264D" w:themeColor="background2"/>
        </w:rPr>
        <w:t>Recommendations</w:t>
      </w:r>
      <w:r w:rsidR="00274A34" w:rsidRPr="00E134AE">
        <w:rPr>
          <w:b/>
          <w:bCs/>
          <w:i/>
          <w:iCs/>
          <w:color w:val="00264D" w:themeColor="background2"/>
        </w:rPr>
        <w:t xml:space="preserve"> for TOR</w:t>
      </w:r>
      <w:r w:rsidR="00335367" w:rsidRPr="00E134AE">
        <w:rPr>
          <w:b/>
          <w:bCs/>
          <w:i/>
          <w:iCs/>
          <w:color w:val="00264D" w:themeColor="background2"/>
        </w:rPr>
        <w:t xml:space="preserve"> 4</w:t>
      </w:r>
    </w:p>
    <w:p w14:paraId="63D7E843" w14:textId="369B7AEB" w:rsidR="00CE3AE5" w:rsidRDefault="00CE3AE5" w:rsidP="00CE3AE5">
      <w:pPr>
        <w:rPr>
          <w:lang w:eastAsia="en-AU"/>
        </w:rPr>
      </w:pPr>
      <w:r>
        <w:rPr>
          <w:lang w:eastAsia="en-AU"/>
        </w:rPr>
        <w:t xml:space="preserve">The Review made two recommendations for TOR 4 on support provided by organisational governance structures, policies and practices. These are outlined below, as well as </w:t>
      </w:r>
      <w:r w:rsidR="00AC5E35">
        <w:rPr>
          <w:lang w:eastAsia="en-AU"/>
        </w:rPr>
        <w:t>CYLC</w:t>
      </w:r>
      <w:r>
        <w:rPr>
          <w:lang w:eastAsia="en-AU"/>
        </w:rPr>
        <w:t xml:space="preserve">’s response to these recommendations. </w:t>
      </w:r>
    </w:p>
    <w:p w14:paraId="4FE4F822" w14:textId="77777777" w:rsidR="00E134AE" w:rsidRDefault="00E134AE" w:rsidP="00CE3AE5">
      <w:pPr>
        <w:rPr>
          <w:lang w:eastAsia="en-AU"/>
        </w:rPr>
      </w:pPr>
    </w:p>
    <w:p w14:paraId="693E41A4" w14:textId="77777777" w:rsidR="00E134AE" w:rsidRDefault="00E134AE" w:rsidP="00CE3AE5">
      <w:pPr>
        <w:rPr>
          <w:lang w:eastAsia="en-AU"/>
        </w:rPr>
      </w:pPr>
    </w:p>
    <w:p w14:paraId="217E85F8" w14:textId="77777777" w:rsidR="00E134AE" w:rsidRDefault="00E134AE" w:rsidP="00CE3AE5">
      <w:pPr>
        <w:rPr>
          <w:lang w:eastAsia="en-AU"/>
        </w:rPr>
      </w:pPr>
    </w:p>
    <w:p w14:paraId="565B3D42" w14:textId="77777777" w:rsidR="00E134AE" w:rsidRDefault="00E134AE" w:rsidP="00CE3AE5">
      <w:pPr>
        <w:rPr>
          <w:lang w:eastAsia="en-AU"/>
        </w:rPr>
      </w:pPr>
    </w:p>
    <w:p w14:paraId="7E8D7894" w14:textId="77777777" w:rsidR="00E134AE" w:rsidRDefault="00E134AE" w:rsidP="00CE3AE5">
      <w:pPr>
        <w:rPr>
          <w:lang w:eastAsia="en-AU"/>
        </w:rPr>
      </w:pPr>
    </w:p>
    <w:p w14:paraId="051C1AD0" w14:textId="77777777" w:rsidR="00E134AE" w:rsidRDefault="00E134AE" w:rsidP="00CE3AE5">
      <w:pPr>
        <w:rPr>
          <w:lang w:eastAsia="en-AU"/>
        </w:rPr>
      </w:pPr>
    </w:p>
    <w:p w14:paraId="240A6D70" w14:textId="77777777" w:rsidR="00E134AE" w:rsidRDefault="00E134AE" w:rsidP="00CE3AE5">
      <w:pPr>
        <w:rPr>
          <w:lang w:eastAsia="en-AU"/>
        </w:rPr>
      </w:pPr>
    </w:p>
    <w:p w14:paraId="035E2D9D" w14:textId="77777777" w:rsidR="00E134AE" w:rsidRPr="00E134AE" w:rsidRDefault="00E134AE" w:rsidP="00C55B7B">
      <w:pPr>
        <w:shd w:val="clear" w:color="auto" w:fill="E6E6E1" w:themeFill="accent5"/>
        <w:outlineLvl w:val="3"/>
        <w:rPr>
          <w:b/>
          <w:bCs/>
          <w:color w:val="00264D" w:themeColor="background2"/>
          <w:lang w:eastAsia="en-AU"/>
        </w:rPr>
      </w:pPr>
      <w:r w:rsidRPr="00E134AE">
        <w:rPr>
          <w:b/>
          <w:bCs/>
          <w:color w:val="00264D" w:themeColor="background2"/>
          <w:lang w:eastAsia="en-AU"/>
        </w:rPr>
        <w:lastRenderedPageBreak/>
        <w:t>Recommendation 9</w:t>
      </w:r>
    </w:p>
    <w:p w14:paraId="2A0CF913" w14:textId="4F0888F2" w:rsidR="00E134AE" w:rsidRPr="00E134AE" w:rsidRDefault="00E134AE" w:rsidP="00E134AE">
      <w:pPr>
        <w:shd w:val="clear" w:color="auto" w:fill="E6E6E1" w:themeFill="accent5"/>
        <w:rPr>
          <w:color w:val="00264D" w:themeColor="background2"/>
          <w:lang w:eastAsia="en-AU"/>
        </w:rPr>
      </w:pPr>
      <w:r w:rsidRPr="00E134AE">
        <w:rPr>
          <w:color w:val="00264D" w:themeColor="background2"/>
          <w:lang w:eastAsia="en-AU"/>
        </w:rPr>
        <w:t xml:space="preserve">CYLC should consider opportunities to strengthen its governance model through increasing the skill sets of the Board Directors. This could include further training for current Board Directors, implementing minimum skill requirements for all new Directors and potentially utilising independent professional Board Directors.  </w:t>
      </w:r>
    </w:p>
    <w:p w14:paraId="5BDD4FF9" w14:textId="77777777" w:rsidR="00E134AE" w:rsidRPr="00E134AE" w:rsidRDefault="00E134AE" w:rsidP="00C55B7B">
      <w:pPr>
        <w:outlineLvl w:val="4"/>
        <w:rPr>
          <w:b/>
          <w:bCs/>
          <w:lang w:eastAsia="en-AU"/>
        </w:rPr>
      </w:pPr>
      <w:r w:rsidRPr="00E134AE">
        <w:rPr>
          <w:b/>
          <w:bCs/>
          <w:lang w:eastAsia="en-AU"/>
        </w:rPr>
        <w:t xml:space="preserve">CYLC response. </w:t>
      </w:r>
    </w:p>
    <w:p w14:paraId="5451F3D9" w14:textId="77777777" w:rsidR="00E134AE" w:rsidRDefault="00E134AE" w:rsidP="00E134AE">
      <w:pPr>
        <w:rPr>
          <w:lang w:eastAsia="en-AU"/>
        </w:rPr>
      </w:pPr>
      <w:r>
        <w:rPr>
          <w:lang w:eastAsia="en-AU"/>
        </w:rPr>
        <w:t xml:space="preserve">The Cape York Land Council consists of 17 community members representative of the communities within the region.  The Directors amplify the voices of clans and families within the sub region and are chosen by the community for their knowledge and experience in matters affecting land management including cultural knowledge, governance and economic development.  </w:t>
      </w:r>
    </w:p>
    <w:p w14:paraId="1FB2BF36" w14:textId="6704B75A" w:rsidR="00E134AE" w:rsidRDefault="00E134AE" w:rsidP="00E134AE">
      <w:pPr>
        <w:rPr>
          <w:lang w:eastAsia="en-AU"/>
        </w:rPr>
      </w:pPr>
      <w:r>
        <w:rPr>
          <w:lang w:eastAsia="en-AU"/>
        </w:rPr>
        <w:t>Our strategic planning model includes a commitment to a strengthened governance model that will support sub regional empowerment and focus on the learning and development of the board of directors through continued collaboration within our network and across the native title sector.  CYLC utilises the knowledge and experience of Directors to support our community engagement operations and will continue to build these opportunities for continued development.</w:t>
      </w:r>
    </w:p>
    <w:p w14:paraId="23D2662A" w14:textId="77777777" w:rsidR="00E134AE" w:rsidRPr="00E134AE" w:rsidRDefault="00E134AE" w:rsidP="00C55B7B">
      <w:pPr>
        <w:shd w:val="clear" w:color="auto" w:fill="E6E6E1" w:themeFill="accent5"/>
        <w:outlineLvl w:val="3"/>
        <w:rPr>
          <w:b/>
          <w:bCs/>
          <w:color w:val="00264D" w:themeColor="background2"/>
          <w:lang w:eastAsia="en-AU"/>
        </w:rPr>
      </w:pPr>
      <w:r w:rsidRPr="00E134AE">
        <w:rPr>
          <w:b/>
          <w:bCs/>
          <w:color w:val="00264D" w:themeColor="background2"/>
          <w:lang w:eastAsia="en-AU"/>
        </w:rPr>
        <w:t>Recommendation 10</w:t>
      </w:r>
    </w:p>
    <w:p w14:paraId="65CFE139" w14:textId="59A617D2" w:rsidR="00E134AE" w:rsidRPr="00E134AE" w:rsidRDefault="00E134AE" w:rsidP="00E134AE">
      <w:pPr>
        <w:shd w:val="clear" w:color="auto" w:fill="E6E6E1" w:themeFill="accent5"/>
        <w:rPr>
          <w:color w:val="00264D" w:themeColor="background2"/>
          <w:lang w:eastAsia="en-AU"/>
        </w:rPr>
      </w:pPr>
      <w:r w:rsidRPr="00E134AE">
        <w:rPr>
          <w:color w:val="00264D" w:themeColor="background2"/>
          <w:lang w:eastAsia="en-AU"/>
        </w:rPr>
        <w:t>CYLC should review its current approach towards performance assessment and professional development to ensure consistency of performance reviews and targeted professional development opportunities are identified for all employees.</w:t>
      </w:r>
    </w:p>
    <w:p w14:paraId="6A253673" w14:textId="77777777" w:rsidR="00E134AE" w:rsidRPr="00E134AE" w:rsidRDefault="00E134AE" w:rsidP="00C55B7B">
      <w:pPr>
        <w:outlineLvl w:val="4"/>
        <w:rPr>
          <w:b/>
          <w:bCs/>
          <w:color w:val="00264D" w:themeColor="background2"/>
        </w:rPr>
      </w:pPr>
      <w:r w:rsidRPr="00E134AE">
        <w:rPr>
          <w:b/>
          <w:bCs/>
          <w:color w:val="00264D" w:themeColor="background2"/>
        </w:rPr>
        <w:t xml:space="preserve">CYLC response. </w:t>
      </w:r>
    </w:p>
    <w:p w14:paraId="30A6CDB1" w14:textId="77777777" w:rsidR="00E134AE" w:rsidRPr="00D37B9B" w:rsidRDefault="00E134AE" w:rsidP="00E134AE">
      <w:pPr>
        <w:rPr>
          <w:sz w:val="18"/>
        </w:rPr>
      </w:pPr>
      <w:r w:rsidRPr="00D37B9B">
        <w:rPr>
          <w:sz w:val="18"/>
        </w:rPr>
        <w:t>CYLC’s commitment to talent development, coupled with improved internal processes for performance review, monitoring and professional development will ensure it continues the growth of our team and our work, and will attract future talent to support the visions of Cape York Traditional Owners.  The network within the Cape York Regional organisations provides opportunities for growth across projects and exposure across the sector.</w:t>
      </w:r>
    </w:p>
    <w:p w14:paraId="67A662EF" w14:textId="77777777" w:rsidR="00E134AE" w:rsidRDefault="00E134AE" w:rsidP="00CE3AE5">
      <w:pPr>
        <w:rPr>
          <w:lang w:eastAsia="en-AU"/>
        </w:rPr>
      </w:pPr>
    </w:p>
    <w:p w14:paraId="0DFE1D8D" w14:textId="77777777" w:rsidR="00E134AE" w:rsidRDefault="00E134AE" w:rsidP="00CE3AE5">
      <w:pPr>
        <w:rPr>
          <w:lang w:eastAsia="en-AU"/>
        </w:rPr>
      </w:pPr>
    </w:p>
    <w:p w14:paraId="35F1780C" w14:textId="77777777" w:rsidR="00E134AE" w:rsidRDefault="00E134AE" w:rsidP="00CE3AE5">
      <w:pPr>
        <w:rPr>
          <w:lang w:eastAsia="en-AU"/>
        </w:rPr>
      </w:pPr>
    </w:p>
    <w:p w14:paraId="41D2D7E0" w14:textId="77777777" w:rsidR="00E134AE" w:rsidRPr="00CE3AE5" w:rsidRDefault="00E134AE" w:rsidP="00CE3AE5">
      <w:pPr>
        <w:rPr>
          <w:lang w:eastAsia="en-AU"/>
        </w:rPr>
      </w:pPr>
    </w:p>
    <w:p w14:paraId="430944AC" w14:textId="3A306C93" w:rsidR="00335367" w:rsidRPr="00D37B9B" w:rsidRDefault="00335367" w:rsidP="00335367">
      <w:pPr>
        <w:rPr>
          <w:sz w:val="18"/>
          <w:szCs w:val="18"/>
          <w:lang w:eastAsia="en-AU"/>
        </w:rPr>
      </w:pPr>
    </w:p>
    <w:p w14:paraId="00145541" w14:textId="42F1C255" w:rsidR="00CE3AE5" w:rsidRDefault="00CE3AE5" w:rsidP="00CE3AE5">
      <w:pPr>
        <w:rPr>
          <w:highlight w:val="yellow"/>
          <w:lang w:eastAsia="en-AU"/>
        </w:rPr>
      </w:pPr>
      <w:r>
        <w:rPr>
          <w:highlight w:val="yellow"/>
          <w:lang w:eastAsia="en-AU"/>
        </w:rPr>
        <w:br w:type="page"/>
      </w:r>
    </w:p>
    <w:p w14:paraId="0C41E2FD" w14:textId="42BD0D35" w:rsidR="00EB1298" w:rsidRDefault="002E4BA7" w:rsidP="00044114">
      <w:pPr>
        <w:pStyle w:val="Heading2"/>
      </w:pPr>
      <w:bookmarkStart w:id="100" w:name="_Toc501895347"/>
      <w:bookmarkStart w:id="101" w:name="_Ref502695754"/>
      <w:bookmarkStart w:id="102" w:name="_Toc502839783"/>
      <w:bookmarkStart w:id="103" w:name="_Toc502843259"/>
      <w:bookmarkStart w:id="104" w:name="_Toc502847622"/>
      <w:bookmarkStart w:id="105" w:name="_Toc502850766"/>
      <w:bookmarkStart w:id="106" w:name="_Toc502855198"/>
      <w:bookmarkStart w:id="107" w:name="_Ref502900609"/>
      <w:bookmarkStart w:id="108" w:name="_Toc503117097"/>
      <w:bookmarkStart w:id="109" w:name="_Toc505259174"/>
      <w:bookmarkStart w:id="110" w:name="_Toc505256241"/>
      <w:bookmarkStart w:id="111" w:name="_Toc505618284"/>
      <w:r w:rsidRPr="0084761C">
        <w:lastRenderedPageBreak/>
        <w:t xml:space="preserve">TOR 5 | </w:t>
      </w:r>
      <w:r w:rsidR="00EB1298" w:rsidRPr="0084761C">
        <w:t xml:space="preserve">Review and assess each organisation’s strategies for and progress in developing self-sufficient </w:t>
      </w:r>
      <w:r w:rsidR="00EB3786" w:rsidRPr="0084761C">
        <w:t>PBCs</w:t>
      </w:r>
      <w:r w:rsidR="00EB1298" w:rsidRPr="0084761C">
        <w:t>, so PBCs have appropriate capacity and capability to manage their own responsibilities and aspirations.</w:t>
      </w:r>
      <w:bookmarkEnd w:id="100"/>
      <w:bookmarkEnd w:id="101"/>
      <w:bookmarkEnd w:id="102"/>
      <w:bookmarkEnd w:id="103"/>
      <w:bookmarkEnd w:id="104"/>
      <w:bookmarkEnd w:id="105"/>
      <w:bookmarkEnd w:id="106"/>
      <w:bookmarkEnd w:id="107"/>
      <w:bookmarkEnd w:id="108"/>
      <w:bookmarkEnd w:id="109"/>
      <w:bookmarkEnd w:id="110"/>
      <w:bookmarkEnd w:id="111"/>
    </w:p>
    <w:p w14:paraId="69B08B95" w14:textId="77777777" w:rsidR="0084761C" w:rsidRPr="0084761C" w:rsidRDefault="0084761C" w:rsidP="0084761C">
      <w:pPr>
        <w:rPr>
          <w:lang w:eastAsia="en-AU"/>
        </w:rPr>
      </w:pPr>
    </w:p>
    <w:p w14:paraId="088BA1FA" w14:textId="3D6129CF" w:rsidR="00AB2FA4" w:rsidRPr="00AB2FA4" w:rsidRDefault="00044114" w:rsidP="00AB2FA4">
      <w:pPr>
        <w:shd w:val="clear" w:color="auto" w:fill="E6E6E1" w:themeFill="accent5"/>
        <w:spacing w:after="0" w:line="259" w:lineRule="auto"/>
        <w:rPr>
          <w:b/>
          <w:color w:val="00264D" w:themeColor="background2"/>
        </w:rPr>
      </w:pPr>
      <w:r w:rsidRPr="00044114">
        <w:rPr>
          <w:rFonts w:eastAsia="Times New Roman"/>
          <w:b/>
          <w:color w:val="00264D" w:themeColor="background2"/>
          <w:lang w:eastAsia="en-AU"/>
        </w:rPr>
        <w:t>CYLC’s PBC support unit provides assistance to 13 PBCs, with the self-sufficiency of PBCs varying greatly across the Cape York region.</w:t>
      </w:r>
      <w:r w:rsidRPr="00044114">
        <w:rPr>
          <w:rFonts w:eastAsia="Times New Roman"/>
          <w:bCs/>
          <w:color w:val="00264D" w:themeColor="background2"/>
          <w:lang w:eastAsia="en-AU"/>
        </w:rPr>
        <w:t xml:space="preserve">  Many are small and have limited funding or capacity to build self-sufficiency. Feedback from PBCs who engaged with the Review suggested that CYLC support is not always appropriately tailored to the diverse requirements of PBCs and that some are not satisfied with the support they have received through CYLC.</w:t>
      </w:r>
    </w:p>
    <w:p w14:paraId="1764FACB" w14:textId="77777777" w:rsidR="00E134AE" w:rsidRDefault="00E134AE" w:rsidP="00E134AE"/>
    <w:p w14:paraId="606E52ED" w14:textId="09DDA739" w:rsidR="00F00DA4" w:rsidRPr="00E134AE" w:rsidRDefault="001E1E39" w:rsidP="00C55B7B">
      <w:pPr>
        <w:outlineLvl w:val="2"/>
        <w:rPr>
          <w:b/>
          <w:bCs/>
          <w:i/>
          <w:iCs/>
          <w:color w:val="00264D" w:themeColor="background2"/>
        </w:rPr>
      </w:pPr>
      <w:r w:rsidRPr="00E134AE">
        <w:rPr>
          <w:b/>
          <w:bCs/>
          <w:i/>
          <w:iCs/>
          <w:color w:val="00264D" w:themeColor="background2"/>
        </w:rPr>
        <w:t>R</w:t>
      </w:r>
      <w:r w:rsidR="00F00DA4" w:rsidRPr="00E134AE">
        <w:rPr>
          <w:b/>
          <w:bCs/>
          <w:i/>
          <w:iCs/>
          <w:color w:val="00264D" w:themeColor="background2"/>
        </w:rPr>
        <w:t>ecommendations</w:t>
      </w:r>
      <w:r w:rsidR="0084761C" w:rsidRPr="00E134AE">
        <w:rPr>
          <w:b/>
          <w:bCs/>
          <w:i/>
          <w:iCs/>
          <w:color w:val="00264D" w:themeColor="background2"/>
        </w:rPr>
        <w:t xml:space="preserve"> </w:t>
      </w:r>
      <w:r w:rsidR="00321398" w:rsidRPr="00E134AE">
        <w:rPr>
          <w:b/>
          <w:bCs/>
          <w:i/>
          <w:iCs/>
          <w:color w:val="00264D" w:themeColor="background2"/>
        </w:rPr>
        <w:t>for TOR 5</w:t>
      </w:r>
    </w:p>
    <w:p w14:paraId="1A0A74BD" w14:textId="785D3B83" w:rsidR="00AB2FA4" w:rsidRPr="00142F78" w:rsidRDefault="00142F78" w:rsidP="00142F78">
      <w:pPr>
        <w:rPr>
          <w:lang w:eastAsia="en-AU"/>
        </w:rPr>
      </w:pPr>
      <w:r>
        <w:rPr>
          <w:lang w:eastAsia="en-AU"/>
        </w:rPr>
        <w:t xml:space="preserve">The Review made one recommendation for TOR 5 on PBC development strategies. This is outlined below, as well as </w:t>
      </w:r>
      <w:r w:rsidR="00AC5E35">
        <w:rPr>
          <w:lang w:eastAsia="en-AU"/>
        </w:rPr>
        <w:t>CYLC</w:t>
      </w:r>
      <w:r>
        <w:rPr>
          <w:lang w:eastAsia="en-AU"/>
        </w:rPr>
        <w:t xml:space="preserve">’s response to this recommendation. </w:t>
      </w:r>
    </w:p>
    <w:p w14:paraId="613785A6" w14:textId="77777777" w:rsidR="00AB2FA4" w:rsidRPr="00AB2FA4" w:rsidRDefault="00AB2FA4" w:rsidP="00C55B7B">
      <w:pPr>
        <w:shd w:val="clear" w:color="auto" w:fill="E6E6E1" w:themeFill="accent5"/>
        <w:outlineLvl w:val="3"/>
        <w:rPr>
          <w:b/>
          <w:bCs/>
          <w:color w:val="00264D" w:themeColor="background2"/>
        </w:rPr>
      </w:pPr>
      <w:r w:rsidRPr="00AB2FA4">
        <w:rPr>
          <w:b/>
          <w:bCs/>
          <w:color w:val="00264D" w:themeColor="background2"/>
        </w:rPr>
        <w:t>Recommendation 11</w:t>
      </w:r>
    </w:p>
    <w:p w14:paraId="2A0F09B9" w14:textId="77777777" w:rsidR="00AB2FA4" w:rsidRPr="00AB2FA4" w:rsidRDefault="00AB2FA4" w:rsidP="00AB2FA4">
      <w:pPr>
        <w:shd w:val="clear" w:color="auto" w:fill="E6E6E1" w:themeFill="accent5"/>
        <w:rPr>
          <w:b/>
          <w:color w:val="00264D" w:themeColor="background2"/>
          <w:sz w:val="18"/>
        </w:rPr>
      </w:pPr>
      <w:r w:rsidRPr="00AB2FA4">
        <w:rPr>
          <w:color w:val="00264D" w:themeColor="background2"/>
          <w:sz w:val="18"/>
        </w:rPr>
        <w:t>CYLC should consider opportunities and mechanisms that would tailor PBC support to assist all PBCs to develop the appropriate capacity and capability to manage their own responsibilities and aspirations.</w:t>
      </w:r>
    </w:p>
    <w:p w14:paraId="1DF4BE93" w14:textId="77777777" w:rsidR="00AB2FA4" w:rsidRPr="00AB2FA4" w:rsidRDefault="00AB2FA4" w:rsidP="00C55B7B">
      <w:pPr>
        <w:outlineLvl w:val="4"/>
        <w:rPr>
          <w:b/>
          <w:bCs/>
          <w:color w:val="00264D" w:themeColor="background2"/>
        </w:rPr>
      </w:pPr>
      <w:r w:rsidRPr="00AB2FA4">
        <w:rPr>
          <w:b/>
          <w:bCs/>
          <w:color w:val="00264D" w:themeColor="background2"/>
        </w:rPr>
        <w:t xml:space="preserve">CYLC response. </w:t>
      </w:r>
    </w:p>
    <w:p w14:paraId="513FC200" w14:textId="77777777" w:rsidR="00AB2FA4" w:rsidRPr="00B74D0D" w:rsidRDefault="00AB2FA4" w:rsidP="00AB2FA4">
      <w:pPr>
        <w:rPr>
          <w:sz w:val="18"/>
        </w:rPr>
      </w:pPr>
      <w:r w:rsidRPr="00B74D0D">
        <w:rPr>
          <w:sz w:val="18"/>
        </w:rPr>
        <w:t xml:space="preserve">In 2009, the CYLC established the first Prescribed Body Corporate (PBC) Support Unit in Australia to provide support and assistance to PBCs so that native title claimants and holders have legally compliant and capable organisations to represent their interests and achieve benefits from native title.  The CYLC continues to challenge the ideals of what PBC support looks like.  </w:t>
      </w:r>
    </w:p>
    <w:p w14:paraId="16026779" w14:textId="77777777" w:rsidR="00AB2FA4" w:rsidRPr="00B74D0D" w:rsidRDefault="00AB2FA4" w:rsidP="00AB2FA4">
      <w:pPr>
        <w:rPr>
          <w:sz w:val="18"/>
        </w:rPr>
      </w:pPr>
      <w:r w:rsidRPr="00B74D0D">
        <w:rPr>
          <w:sz w:val="18"/>
        </w:rPr>
        <w:t>With NIAA assistance, the CYLC will offer selected PBC staff placement opportunities at the CYLC through the ‘Lana Program’.  The Lana Program will work closely with PBCs to identify emerging Traditional Owner and PBC leadership, putting them through an accredited on-the-job training program and expose them to the suite of services and different types of assistance available to support PBCs though the CYLC network.</w:t>
      </w:r>
    </w:p>
    <w:p w14:paraId="75484EE4" w14:textId="77777777" w:rsidR="00AB2FA4" w:rsidRPr="00B74D0D" w:rsidRDefault="00AB2FA4" w:rsidP="00AB2FA4">
      <w:pPr>
        <w:rPr>
          <w:sz w:val="18"/>
        </w:rPr>
      </w:pPr>
      <w:r w:rsidRPr="00B74D0D">
        <w:rPr>
          <w:sz w:val="18"/>
        </w:rPr>
        <w:t xml:space="preserve">The traditional role of Native Title Representative Bodies (NTRBs) is changing.  The key challenge facing all NTRBs, as we move towards a post-determination era, is how to continue to provide essential native title assistance to Traditional Owner groups as well as supporting the growing number of requests for developing business opportunities.  </w:t>
      </w:r>
    </w:p>
    <w:p w14:paraId="72077B09" w14:textId="77777777" w:rsidR="00AB2FA4" w:rsidRPr="00B74D0D" w:rsidRDefault="00AB2FA4" w:rsidP="00AB2FA4">
      <w:pPr>
        <w:rPr>
          <w:sz w:val="18"/>
        </w:rPr>
      </w:pPr>
      <w:r w:rsidRPr="00B74D0D">
        <w:rPr>
          <w:sz w:val="18"/>
        </w:rPr>
        <w:t>A focus on Service Agreements between the CYLC and PBCs will reflect the diversity for the types of support Cape PBCs request but also a reporting or ‘checking in’ point through which we can collectively monitor progress.  Our aim has always been to enable PBCs to become self-sufficient so that they are better able to secure effective and sustainable social and economic outcomes for First Nations people.</w:t>
      </w:r>
    </w:p>
    <w:p w14:paraId="11B4E375" w14:textId="77777777" w:rsidR="001E1E39" w:rsidRPr="001E1E39" w:rsidRDefault="001E1E39" w:rsidP="001E1E39">
      <w:pPr>
        <w:rPr>
          <w:lang w:eastAsia="en-AU"/>
        </w:rPr>
      </w:pPr>
    </w:p>
    <w:p w14:paraId="4C08F3DB" w14:textId="43E314EE" w:rsidR="00D87B95" w:rsidRDefault="00D87B95" w:rsidP="00F00DA4">
      <w:pPr>
        <w:rPr>
          <w:lang w:eastAsia="en-AU"/>
        </w:rPr>
      </w:pPr>
      <w:r>
        <w:rPr>
          <w:lang w:eastAsia="en-AU"/>
        </w:rPr>
        <w:br w:type="page"/>
      </w:r>
    </w:p>
    <w:p w14:paraId="1581AAB1" w14:textId="6DE56380" w:rsidR="00EB1298" w:rsidRDefault="002E4BA7" w:rsidP="00AB2FA4">
      <w:pPr>
        <w:pStyle w:val="Heading2"/>
      </w:pPr>
      <w:bookmarkStart w:id="112" w:name="_Toc501895348"/>
      <w:bookmarkStart w:id="113" w:name="_Toc502839784"/>
      <w:bookmarkStart w:id="114" w:name="_Toc502843260"/>
      <w:bookmarkStart w:id="115" w:name="_Toc502847623"/>
      <w:bookmarkStart w:id="116" w:name="_Toc502850767"/>
      <w:bookmarkStart w:id="117" w:name="_Toc502855199"/>
      <w:bookmarkStart w:id="118" w:name="_Toc503117098"/>
      <w:bookmarkStart w:id="119" w:name="_Toc505259175"/>
      <w:bookmarkStart w:id="120" w:name="_Toc505256242"/>
      <w:bookmarkStart w:id="121" w:name="_Toc505618285"/>
      <w:r w:rsidRPr="0084761C">
        <w:lastRenderedPageBreak/>
        <w:t xml:space="preserve">TOR 6 | </w:t>
      </w:r>
      <w:r w:rsidR="00EB1298" w:rsidRPr="0084761C">
        <w:t>Review and assess the adequacy of each organisation’s strategic planning for a post determination environment.</w:t>
      </w:r>
      <w:bookmarkEnd w:id="112"/>
      <w:bookmarkEnd w:id="113"/>
      <w:bookmarkEnd w:id="114"/>
      <w:bookmarkEnd w:id="115"/>
      <w:bookmarkEnd w:id="116"/>
      <w:bookmarkEnd w:id="117"/>
      <w:bookmarkEnd w:id="118"/>
      <w:bookmarkEnd w:id="119"/>
      <w:bookmarkEnd w:id="120"/>
      <w:bookmarkEnd w:id="121"/>
    </w:p>
    <w:p w14:paraId="14271A51" w14:textId="77777777" w:rsidR="0084761C" w:rsidRPr="0084761C" w:rsidRDefault="0084761C" w:rsidP="0084761C">
      <w:pPr>
        <w:rPr>
          <w:lang w:eastAsia="en-AU"/>
        </w:rPr>
      </w:pPr>
    </w:p>
    <w:p w14:paraId="468314EE" w14:textId="77777777" w:rsidR="00AB2FA4" w:rsidRPr="00AB2FA4" w:rsidRDefault="00AB2FA4" w:rsidP="00AB2FA4">
      <w:pPr>
        <w:shd w:val="clear" w:color="auto" w:fill="E6E6E1" w:themeFill="accent5"/>
        <w:spacing w:line="259" w:lineRule="auto"/>
        <w:rPr>
          <w:b/>
          <w:color w:val="00264D" w:themeColor="background2"/>
        </w:rPr>
      </w:pPr>
      <w:r w:rsidRPr="00AB2FA4">
        <w:rPr>
          <w:b/>
          <w:bCs/>
          <w:color w:val="00264D" w:themeColor="background2"/>
        </w:rPr>
        <w:t>The speed with which CYLC’s region progresses towards a post determination environment depends primarily on the outcome of the One Claim.</w:t>
      </w:r>
      <w:r w:rsidRPr="00AB2FA4">
        <w:rPr>
          <w:color w:val="00264D" w:themeColor="background2"/>
        </w:rPr>
        <w:t xml:space="preserve"> If successfully determined by consent, the post determination world, built on the </w:t>
      </w:r>
      <w:proofErr w:type="spellStart"/>
      <w:r w:rsidRPr="00AB2FA4">
        <w:rPr>
          <w:color w:val="00264D" w:themeColor="background2"/>
        </w:rPr>
        <w:t>Pama</w:t>
      </w:r>
      <w:proofErr w:type="spellEnd"/>
      <w:r w:rsidRPr="00AB2FA4">
        <w:rPr>
          <w:color w:val="00264D" w:themeColor="background2"/>
        </w:rPr>
        <w:t xml:space="preserve"> Futures vision, will rapidly become reality for CYLC.</w:t>
      </w:r>
    </w:p>
    <w:p w14:paraId="2DC6BD83" w14:textId="77777777" w:rsidR="00AB2FA4" w:rsidRPr="00AB2FA4" w:rsidRDefault="00AB2FA4" w:rsidP="00AB2FA4">
      <w:pPr>
        <w:shd w:val="clear" w:color="auto" w:fill="E6E6E1" w:themeFill="accent5"/>
        <w:spacing w:after="0" w:line="259" w:lineRule="auto"/>
        <w:rPr>
          <w:b/>
          <w:color w:val="00264D" w:themeColor="background2"/>
        </w:rPr>
      </w:pPr>
      <w:r w:rsidRPr="00AB2FA4">
        <w:rPr>
          <w:color w:val="00264D" w:themeColor="background2"/>
        </w:rPr>
        <w:t xml:space="preserve">CYLC has not developed a strategic plan that articulates a vision for its own future as an organisation in a post determination world, and instead relies on the recently co-designed </w:t>
      </w:r>
      <w:proofErr w:type="spellStart"/>
      <w:r w:rsidRPr="00AB2FA4">
        <w:rPr>
          <w:color w:val="00264D" w:themeColor="background2"/>
        </w:rPr>
        <w:t>Pama</w:t>
      </w:r>
      <w:proofErr w:type="spellEnd"/>
      <w:r w:rsidRPr="00AB2FA4">
        <w:rPr>
          <w:color w:val="00264D" w:themeColor="background2"/>
        </w:rPr>
        <w:t xml:space="preserve"> Futures agenda for its current direction and vision. </w:t>
      </w:r>
      <w:proofErr w:type="spellStart"/>
      <w:r w:rsidRPr="00AB2FA4">
        <w:rPr>
          <w:color w:val="00264D" w:themeColor="background2"/>
        </w:rPr>
        <w:t>Pama</w:t>
      </w:r>
      <w:proofErr w:type="spellEnd"/>
      <w:r w:rsidRPr="00AB2FA4">
        <w:rPr>
          <w:color w:val="00264D" w:themeColor="background2"/>
        </w:rPr>
        <w:t xml:space="preserve"> Futures, in association with the One Claim, aims to help to ensure that people can use their land more effectively to build wealth. CYLC will play a key strategic and enabling role in </w:t>
      </w:r>
      <w:proofErr w:type="spellStart"/>
      <w:r w:rsidRPr="00AB2FA4">
        <w:rPr>
          <w:color w:val="00264D" w:themeColor="background2"/>
        </w:rPr>
        <w:t>Pama</w:t>
      </w:r>
      <w:proofErr w:type="spellEnd"/>
      <w:r w:rsidRPr="00AB2FA4">
        <w:rPr>
          <w:color w:val="00264D" w:themeColor="background2"/>
        </w:rPr>
        <w:t xml:space="preserve"> Futures and intends to undertake organisational reform to ensure it can deliver on this broader reform agenda. Within this vision, CYLC aspires to create a central ‘PBC hub’ to support PBCs to learn from each other and use CYLC’s resources where required.</w:t>
      </w:r>
    </w:p>
    <w:p w14:paraId="7584D34D" w14:textId="77777777" w:rsidR="00F00DA4" w:rsidRDefault="00F00DA4" w:rsidP="00F00DA4">
      <w:pPr>
        <w:rPr>
          <w:lang w:eastAsia="en-AU"/>
        </w:rPr>
      </w:pPr>
    </w:p>
    <w:p w14:paraId="3AE70BB1" w14:textId="6D946AB5" w:rsidR="0084761C" w:rsidRPr="00E134AE" w:rsidRDefault="007D4CD9" w:rsidP="00C55B7B">
      <w:pPr>
        <w:outlineLvl w:val="2"/>
        <w:rPr>
          <w:b/>
          <w:bCs/>
          <w:i/>
          <w:iCs/>
          <w:color w:val="00264D" w:themeColor="background2"/>
        </w:rPr>
      </w:pPr>
      <w:r w:rsidRPr="00E134AE">
        <w:rPr>
          <w:b/>
          <w:bCs/>
          <w:i/>
          <w:iCs/>
          <w:color w:val="00264D" w:themeColor="background2"/>
        </w:rPr>
        <w:t>R</w:t>
      </w:r>
      <w:r w:rsidR="0084761C" w:rsidRPr="00E134AE">
        <w:rPr>
          <w:b/>
          <w:bCs/>
          <w:i/>
          <w:iCs/>
          <w:color w:val="00264D" w:themeColor="background2"/>
        </w:rPr>
        <w:t>ecommendations for TOR 6</w:t>
      </w:r>
    </w:p>
    <w:p w14:paraId="71CE95BD" w14:textId="25F536C3" w:rsidR="000F38D0" w:rsidRPr="000F38D0" w:rsidRDefault="000F38D0" w:rsidP="000F38D0">
      <w:pPr>
        <w:rPr>
          <w:lang w:eastAsia="en-AU"/>
        </w:rPr>
      </w:pPr>
      <w:r>
        <w:rPr>
          <w:lang w:eastAsia="en-AU"/>
        </w:rPr>
        <w:t xml:space="preserve">The Review made one recommendation for TOR 6 on the organisation’s strategic planning. This is outlined below, as well as </w:t>
      </w:r>
      <w:r w:rsidR="00AC5E35">
        <w:rPr>
          <w:lang w:eastAsia="en-AU"/>
        </w:rPr>
        <w:t>CYLC</w:t>
      </w:r>
      <w:r>
        <w:rPr>
          <w:lang w:eastAsia="en-AU"/>
        </w:rPr>
        <w:t xml:space="preserve">’s response to this recommendation. </w:t>
      </w:r>
    </w:p>
    <w:p w14:paraId="303F926B" w14:textId="77777777" w:rsidR="00AB2FA4" w:rsidRPr="00AB2FA4" w:rsidRDefault="00AB2FA4" w:rsidP="00C55B7B">
      <w:pPr>
        <w:shd w:val="clear" w:color="auto" w:fill="E6E6E1" w:themeFill="accent5"/>
        <w:outlineLvl w:val="3"/>
        <w:rPr>
          <w:b/>
          <w:bCs/>
          <w:color w:val="00264D" w:themeColor="background2"/>
        </w:rPr>
      </w:pPr>
      <w:r w:rsidRPr="00AB2FA4">
        <w:rPr>
          <w:b/>
          <w:bCs/>
          <w:color w:val="00264D" w:themeColor="background2"/>
        </w:rPr>
        <w:t>Recommendation 12</w:t>
      </w:r>
    </w:p>
    <w:p w14:paraId="11E0ED2A" w14:textId="77777777" w:rsidR="00AB2FA4" w:rsidRPr="00AB2FA4" w:rsidRDefault="00AB2FA4" w:rsidP="00AB2FA4">
      <w:pPr>
        <w:shd w:val="clear" w:color="auto" w:fill="E6E6E1" w:themeFill="accent5"/>
        <w:rPr>
          <w:b/>
          <w:color w:val="00264D" w:themeColor="background2"/>
        </w:rPr>
      </w:pPr>
      <w:r w:rsidRPr="00AB2FA4">
        <w:rPr>
          <w:color w:val="00264D" w:themeColor="background2"/>
        </w:rPr>
        <w:t>CYLC should ensure that future strategic planning activities clarify how CYLC will structure itself to provide ongoing leadership in a post determination environment.</w:t>
      </w:r>
    </w:p>
    <w:p w14:paraId="7CF71302" w14:textId="77777777" w:rsidR="00AB2FA4" w:rsidRPr="00AB2FA4" w:rsidRDefault="00AB2FA4" w:rsidP="00C55B7B">
      <w:pPr>
        <w:outlineLvl w:val="4"/>
        <w:rPr>
          <w:b/>
          <w:bCs/>
          <w:color w:val="00264D" w:themeColor="background2"/>
        </w:rPr>
      </w:pPr>
      <w:r w:rsidRPr="00AB2FA4">
        <w:rPr>
          <w:b/>
          <w:bCs/>
          <w:color w:val="00264D" w:themeColor="background2"/>
        </w:rPr>
        <w:t xml:space="preserve">CYLC response. </w:t>
      </w:r>
    </w:p>
    <w:p w14:paraId="1E4BEC73" w14:textId="0EE8E673" w:rsidR="00AB2FA4" w:rsidRPr="00B74D0D" w:rsidRDefault="00AB2FA4" w:rsidP="00AB2FA4">
      <w:r w:rsidRPr="00B74D0D">
        <w:t xml:space="preserve">CYLC will complete its 5 Year Strategic Plan in 2020.  The plan has grown out of co-design and community forums held over the past two years as part of the </w:t>
      </w:r>
      <w:proofErr w:type="spellStart"/>
      <w:r w:rsidRPr="00B74D0D">
        <w:t>Pama</w:t>
      </w:r>
      <w:proofErr w:type="spellEnd"/>
      <w:r w:rsidRPr="00B74D0D">
        <w:t xml:space="preserve"> Futures engagement.  It encompasses our vision, key drivers and how continued monitoring and evaluation will ensure the focus remains on community driven opportunities.  CYLC’s internal operational restructure has extended its scope of services to support every aspect of the Land Rights journey, including post determination with a key commitment to capability development of PBCs.  </w:t>
      </w:r>
    </w:p>
    <w:p w14:paraId="61BAB55E" w14:textId="77777777" w:rsidR="00AB2FA4" w:rsidRPr="00B74D0D" w:rsidRDefault="00AB2FA4" w:rsidP="00AB2FA4">
      <w:r w:rsidRPr="00B74D0D">
        <w:t>The campfire governance program develops facilitation and engagement skills at clan/family group levels.  The Lana (PBC Capability Support program) delivers an innovative learning program to develop trainees for PBCs in the sub region.  Lana is delivered with ‘wrap around’ support including mentoring, milestone rewards program and career pathway opportunities.  Both programs aim to strengthen all voices and build local empowered PBCs.  The strategic plan outlines CYLC’s commitment to developing networks, communication and professional support services that will empower PBCs and Indigenous Land Holding bodies to manage their traditional lands and plan for future opportunities.</w:t>
      </w:r>
    </w:p>
    <w:p w14:paraId="3A816728" w14:textId="115F3224" w:rsidR="000A6B36" w:rsidRDefault="000A6B36" w:rsidP="000A6B36">
      <w:pPr>
        <w:rPr>
          <w:lang w:eastAsia="en-AU"/>
        </w:rPr>
      </w:pPr>
    </w:p>
    <w:p w14:paraId="4D4C98CE" w14:textId="77777777" w:rsidR="000A6B36" w:rsidRPr="000A6B36" w:rsidRDefault="000A6B36" w:rsidP="000A6B36">
      <w:pPr>
        <w:rPr>
          <w:lang w:eastAsia="en-AU"/>
        </w:rPr>
      </w:pPr>
    </w:p>
    <w:p w14:paraId="62197B13" w14:textId="77777777" w:rsidR="00525012" w:rsidRDefault="00525012" w:rsidP="00525012">
      <w:pPr>
        <w:pStyle w:val="xAppendixLevel1"/>
      </w:pPr>
      <w:bookmarkStart w:id="122" w:name="_Ref500494833"/>
      <w:bookmarkStart w:id="123" w:name="_Toc502668024"/>
      <w:bookmarkStart w:id="124" w:name="_Toc502839785"/>
      <w:bookmarkStart w:id="125" w:name="_Toc502843261"/>
      <w:bookmarkStart w:id="126" w:name="_Toc502847624"/>
      <w:bookmarkStart w:id="127" w:name="_Toc502850768"/>
      <w:bookmarkStart w:id="128" w:name="_Toc502855200"/>
      <w:bookmarkStart w:id="129" w:name="_Toc503117099"/>
      <w:bookmarkStart w:id="130" w:name="_Toc505259176"/>
      <w:bookmarkStart w:id="131" w:name="_Toc505256243"/>
      <w:bookmarkStart w:id="132" w:name="_Toc505618286"/>
      <w:bookmarkStart w:id="133" w:name="_Toc68070980"/>
      <w:r w:rsidRPr="00584514">
        <w:lastRenderedPageBreak/>
        <w:t>Terms of Reference</w:t>
      </w:r>
      <w:bookmarkEnd w:id="122"/>
      <w:bookmarkEnd w:id="123"/>
      <w:bookmarkEnd w:id="124"/>
      <w:bookmarkEnd w:id="125"/>
      <w:bookmarkEnd w:id="126"/>
      <w:bookmarkEnd w:id="127"/>
      <w:bookmarkEnd w:id="128"/>
      <w:bookmarkEnd w:id="129"/>
      <w:bookmarkEnd w:id="130"/>
      <w:bookmarkEnd w:id="131"/>
      <w:bookmarkEnd w:id="132"/>
      <w:bookmarkEnd w:id="133"/>
    </w:p>
    <w:p w14:paraId="06936EEF" w14:textId="77777777" w:rsidR="00525012" w:rsidRDefault="00525012" w:rsidP="00C13B3A">
      <w:pPr>
        <w:pStyle w:val="Listnumbered"/>
        <w:numPr>
          <w:ilvl w:val="0"/>
          <w:numId w:val="9"/>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611370EF" w14:textId="77777777" w:rsidR="00525012" w:rsidRDefault="00525012" w:rsidP="00525012">
      <w:pPr>
        <w:pStyle w:val="Bullet"/>
        <w:numPr>
          <w:ilvl w:val="0"/>
          <w:numId w:val="6"/>
        </w:numPr>
        <w:shd w:val="clear" w:color="auto" w:fill="FDEAD1" w:themeFill="accent3" w:themeFillTint="33"/>
        <w:spacing w:after="165" w:line="259" w:lineRule="auto"/>
      </w:pPr>
      <w:r>
        <w:t xml:space="preserve">Native title claim outcomes achieved for clients. </w:t>
      </w:r>
    </w:p>
    <w:p w14:paraId="41E05DC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organisation’s assessment and prioritisation of applications are equitable, transparent and robust. </w:t>
      </w:r>
    </w:p>
    <w:p w14:paraId="577BB7F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404E9DC2"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2306F970" w14:textId="4B9A5A52"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w:t>
      </w:r>
      <w:r w:rsidR="002C3710">
        <w:rPr>
          <w:lang w:eastAsia="en-AU"/>
        </w:rPr>
        <w:t>the NIAA</w:t>
      </w:r>
      <w:r>
        <w:rPr>
          <w:lang w:eastAsia="en-AU"/>
        </w:rPr>
        <w:t xml:space="preserve">. </w:t>
      </w:r>
    </w:p>
    <w:p w14:paraId="5D9C0EFC"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46F7B675"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281F8956" w14:textId="77777777" w:rsidR="00525012" w:rsidRDefault="00525012" w:rsidP="00525012">
      <w:pPr>
        <w:pStyle w:val="Bullet"/>
        <w:numPr>
          <w:ilvl w:val="0"/>
          <w:numId w:val="6"/>
        </w:numPr>
        <w:shd w:val="clear" w:color="auto" w:fill="FDEAD1" w:themeFill="accent3" w:themeFillTint="33"/>
        <w:spacing w:after="165" w:line="259" w:lineRule="auto"/>
      </w:pPr>
      <w:r>
        <w:t>Its financial management.</w:t>
      </w:r>
    </w:p>
    <w:p w14:paraId="5CE4721F"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conflicts of interest. </w:t>
      </w:r>
    </w:p>
    <w:p w14:paraId="42FAECD9"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complaints. </w:t>
      </w:r>
    </w:p>
    <w:p w14:paraId="2F5D15A7"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211472D3"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2885C33F" w14:textId="42C71084"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Examine and report on other relevant issues as identified by </w:t>
      </w:r>
      <w:r w:rsidR="002C3710">
        <w:rPr>
          <w:lang w:eastAsia="en-AU"/>
        </w:rPr>
        <w:t>the NIAA</w:t>
      </w:r>
      <w:r w:rsidR="009515AD">
        <w:rPr>
          <w:lang w:eastAsia="en-AU"/>
        </w:rPr>
        <w:t xml:space="preserve"> </w:t>
      </w:r>
      <w:r>
        <w:rPr>
          <w:lang w:eastAsia="en-AU"/>
        </w:rPr>
        <w:t>or in the course of the review, which may be specific to particular organisations.</w:t>
      </w:r>
    </w:p>
    <w:p w14:paraId="2EA02360" w14:textId="77777777"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079EB65" w14:textId="79F6C966"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Provide written draft and final reports to </w:t>
      </w:r>
      <w:r w:rsidR="002C3710">
        <w:rPr>
          <w:lang w:eastAsia="en-AU"/>
        </w:rPr>
        <w:t>the NIAA</w:t>
      </w:r>
      <w:r w:rsidR="009515AD">
        <w:rPr>
          <w:lang w:eastAsia="en-AU"/>
        </w:rPr>
        <w:t xml:space="preserve"> </w:t>
      </w:r>
      <w:r>
        <w:rPr>
          <w:lang w:eastAsia="en-AU"/>
        </w:rPr>
        <w:t>on the work undertaken for each review and the review findings, making recommendations on what changes, if any, each organisation could make to improve its efficiency and effectiveness. There will be an overarching comparative report and five individual reports.</w:t>
      </w:r>
    </w:p>
    <w:p w14:paraId="70487381" w14:textId="77777777" w:rsidR="00525012" w:rsidRPr="006B7B98" w:rsidRDefault="00525012" w:rsidP="00525012">
      <w:pPr>
        <w:rPr>
          <w:lang w:eastAsia="en-AU"/>
        </w:rPr>
      </w:pPr>
    </w:p>
    <w:p w14:paraId="641692F5" w14:textId="77777777" w:rsidR="00D06FCE" w:rsidRDefault="00D06FCE" w:rsidP="00D06FCE">
      <w:pPr>
        <w:pStyle w:val="xAppendixLevel1"/>
      </w:pPr>
      <w:bookmarkStart w:id="134" w:name="_Ref37158564"/>
      <w:bookmarkStart w:id="135" w:name="_Toc68070981"/>
      <w:bookmarkStart w:id="136" w:name="_Toc501799420"/>
      <w:bookmarkStart w:id="137" w:name="_Ref502723599"/>
      <w:bookmarkStart w:id="138" w:name="_Toc502839786"/>
      <w:bookmarkStart w:id="139" w:name="_Toc502843262"/>
      <w:bookmarkStart w:id="140" w:name="_Toc502847625"/>
      <w:bookmarkStart w:id="141" w:name="_Toc502850769"/>
      <w:bookmarkStart w:id="142" w:name="_Toc502855201"/>
      <w:bookmarkStart w:id="143" w:name="_Toc503117100"/>
      <w:bookmarkStart w:id="144" w:name="_Toc505259177"/>
      <w:bookmarkStart w:id="145" w:name="_Toc505256244"/>
      <w:bookmarkStart w:id="146" w:name="_Toc505618287"/>
      <w:bookmarkStart w:id="147" w:name="_Ref500494866"/>
      <w:bookmarkStart w:id="148" w:name="_Toc502668025"/>
      <w:bookmarkStart w:id="149" w:name="_Ref495407339"/>
      <w:r>
        <w:lastRenderedPageBreak/>
        <w:t>NTRB-SPs under review</w:t>
      </w:r>
      <w:bookmarkEnd w:id="134"/>
      <w:bookmarkEnd w:id="135"/>
    </w:p>
    <w:p w14:paraId="7DB30ECB" w14:textId="0749C670" w:rsidR="00CC1941" w:rsidRDefault="001F3BC5" w:rsidP="00CC1941">
      <w:pPr>
        <w:spacing w:after="0"/>
        <w:rPr>
          <w:lang w:eastAsia="en-AU"/>
        </w:rPr>
      </w:pPr>
      <w:r>
        <w:rPr>
          <w:lang w:eastAsia="en-AU"/>
        </w:rPr>
        <w:t>A total of 14</w:t>
      </w:r>
      <w:r w:rsidR="00CC1941">
        <w:rPr>
          <w:lang w:eastAsia="en-AU"/>
        </w:rPr>
        <w:t xml:space="preserve"> Native Title Representative Bodies and Service Providers (NTRB-SPs) were reviewed in three tranches using the same methodology and approach. For each Review tranche, a three-year period was in scope for the </w:t>
      </w:r>
      <w:r w:rsidR="00677D73">
        <w:rPr>
          <w:lang w:eastAsia="en-AU"/>
        </w:rPr>
        <w:t>R</w:t>
      </w:r>
      <w:r w:rsidR="00CC1941">
        <w:rPr>
          <w:lang w:eastAsia="en-AU"/>
        </w:rPr>
        <w:t xml:space="preserve">eview – as presented in </w:t>
      </w:r>
      <w:r w:rsidR="00CC1941">
        <w:rPr>
          <w:lang w:eastAsia="en-AU"/>
        </w:rPr>
        <w:fldChar w:fldCharType="begin"/>
      </w:r>
      <w:r w:rsidR="00CC1941">
        <w:rPr>
          <w:lang w:eastAsia="en-AU"/>
        </w:rPr>
        <w:instrText xml:space="preserve"> REF _Ref37790230 \h </w:instrText>
      </w:r>
      <w:r w:rsidR="00CC1941">
        <w:rPr>
          <w:lang w:eastAsia="en-AU"/>
        </w:rPr>
      </w:r>
      <w:r w:rsidR="00CC1941">
        <w:rPr>
          <w:lang w:eastAsia="en-AU"/>
        </w:rPr>
        <w:fldChar w:fldCharType="separate"/>
      </w:r>
      <w:r w:rsidR="00A142B7" w:rsidRPr="00BB1AA6">
        <w:t xml:space="preserve">Table </w:t>
      </w:r>
      <w:r w:rsidR="00A142B7">
        <w:rPr>
          <w:noProof/>
        </w:rPr>
        <w:t>1</w:t>
      </w:r>
      <w:r w:rsidR="00CC1941">
        <w:rPr>
          <w:lang w:eastAsia="en-AU"/>
        </w:rPr>
        <w:fldChar w:fldCharType="end"/>
      </w:r>
      <w:r w:rsidR="00CC1941">
        <w:rPr>
          <w:lang w:eastAsia="en-AU"/>
        </w:rPr>
        <w:t xml:space="preserve">. The efficiency and effectiveness of each NTRB-SP was assessed and a performance report was prepared for each. </w:t>
      </w:r>
    </w:p>
    <w:p w14:paraId="594B85C5" w14:textId="12D9680C" w:rsidR="00CC1941" w:rsidRPr="00BB1AA6" w:rsidRDefault="00CC1941" w:rsidP="00CC1941">
      <w:pPr>
        <w:pStyle w:val="Caption"/>
        <w:keepNext/>
      </w:pPr>
      <w:bookmarkStart w:id="150" w:name="_Ref37790230"/>
      <w:r w:rsidRPr="00BB1AA6">
        <w:t xml:space="preserve">Table </w:t>
      </w:r>
      <w:r w:rsidRPr="00BB1AA6">
        <w:fldChar w:fldCharType="begin"/>
      </w:r>
      <w:r w:rsidRPr="00BB1AA6">
        <w:instrText xml:space="preserve"> SEQ Table \* ARABIC </w:instrText>
      </w:r>
      <w:r w:rsidRPr="00BB1AA6">
        <w:fldChar w:fldCharType="separate"/>
      </w:r>
      <w:r w:rsidR="00A142B7">
        <w:rPr>
          <w:noProof/>
        </w:rPr>
        <w:t>1</w:t>
      </w:r>
      <w:r w:rsidRPr="00BB1AA6">
        <w:fldChar w:fldCharType="end"/>
      </w:r>
      <w:bookmarkEnd w:id="150"/>
      <w:r w:rsidRPr="00BB1AA6">
        <w:t xml:space="preserve"> | </w:t>
      </w:r>
      <w:r>
        <w:t>NTRB-SPs review tranches</w:t>
      </w:r>
    </w:p>
    <w:tbl>
      <w:tblPr>
        <w:tblStyle w:val="TableGrid"/>
        <w:tblW w:w="8931" w:type="dxa"/>
        <w:tblLook w:val="04A0" w:firstRow="1" w:lastRow="0" w:firstColumn="1" w:lastColumn="0" w:noHBand="0" w:noVBand="1"/>
      </w:tblPr>
      <w:tblGrid>
        <w:gridCol w:w="993"/>
        <w:gridCol w:w="3685"/>
        <w:gridCol w:w="1843"/>
        <w:gridCol w:w="2410"/>
      </w:tblGrid>
      <w:tr w:rsidR="00CC1941" w:rsidRPr="00BB1AA6" w14:paraId="7B7CB9EF" w14:textId="77777777" w:rsidTr="000947BF">
        <w:trPr>
          <w:cnfStyle w:val="100000000000" w:firstRow="1" w:lastRow="0" w:firstColumn="0" w:lastColumn="0" w:oddVBand="0" w:evenVBand="0" w:oddHBand="0" w:evenHBand="0" w:firstRowFirstColumn="0" w:firstRowLastColumn="0" w:lastRowFirstColumn="0" w:lastRowLastColumn="0"/>
        </w:trPr>
        <w:tc>
          <w:tcPr>
            <w:tcW w:w="993" w:type="dxa"/>
          </w:tcPr>
          <w:p w14:paraId="4157B281" w14:textId="77777777" w:rsidR="00CC1941" w:rsidRPr="0043363C" w:rsidRDefault="00CC1941" w:rsidP="000947BF">
            <w:pPr>
              <w:pStyle w:val="TableExpText"/>
              <w:rPr>
                <w:color w:val="00264D" w:themeColor="background2"/>
              </w:rPr>
            </w:pPr>
            <w:r w:rsidRPr="0043363C">
              <w:rPr>
                <w:color w:val="00264D" w:themeColor="background2"/>
              </w:rPr>
              <w:t>Tranche</w:t>
            </w:r>
          </w:p>
        </w:tc>
        <w:tc>
          <w:tcPr>
            <w:tcW w:w="3685" w:type="dxa"/>
          </w:tcPr>
          <w:p w14:paraId="5C67D3D5" w14:textId="48F98EA6" w:rsidR="00CC1941" w:rsidRPr="0043363C" w:rsidRDefault="00CC1941" w:rsidP="000947BF">
            <w:pPr>
              <w:pStyle w:val="TableExpText"/>
              <w:rPr>
                <w:color w:val="00264D" w:themeColor="background2"/>
              </w:rPr>
            </w:pPr>
            <w:r w:rsidRPr="0043363C">
              <w:rPr>
                <w:color w:val="00264D" w:themeColor="background2"/>
              </w:rPr>
              <w:t xml:space="preserve">NTRB-SP </w:t>
            </w:r>
          </w:p>
        </w:tc>
        <w:tc>
          <w:tcPr>
            <w:tcW w:w="1843" w:type="dxa"/>
          </w:tcPr>
          <w:p w14:paraId="16366B79" w14:textId="10094C02" w:rsidR="00CC1941" w:rsidRPr="0043363C" w:rsidRDefault="00CC1941" w:rsidP="000947BF">
            <w:pPr>
              <w:pStyle w:val="TableExpText"/>
              <w:rPr>
                <w:color w:val="00264D" w:themeColor="background2"/>
              </w:rPr>
            </w:pPr>
            <w:r w:rsidRPr="0043363C">
              <w:rPr>
                <w:color w:val="00264D" w:themeColor="background2"/>
              </w:rPr>
              <w:t xml:space="preserve">Scope of </w:t>
            </w:r>
            <w:r w:rsidR="00677D73">
              <w:rPr>
                <w:color w:val="00264D" w:themeColor="background2"/>
              </w:rPr>
              <w:t>R</w:t>
            </w:r>
            <w:r w:rsidRPr="0043363C">
              <w:rPr>
                <w:color w:val="00264D" w:themeColor="background2"/>
              </w:rPr>
              <w:t>eview</w:t>
            </w:r>
          </w:p>
        </w:tc>
        <w:tc>
          <w:tcPr>
            <w:tcW w:w="2410" w:type="dxa"/>
          </w:tcPr>
          <w:p w14:paraId="40C5B34F" w14:textId="0804E83C" w:rsidR="00CC1941" w:rsidRPr="0043363C" w:rsidRDefault="00CC1941" w:rsidP="000947BF">
            <w:pPr>
              <w:pStyle w:val="TableExpText"/>
              <w:rPr>
                <w:color w:val="00264D" w:themeColor="background2"/>
              </w:rPr>
            </w:pPr>
            <w:r w:rsidRPr="0043363C">
              <w:rPr>
                <w:color w:val="00264D" w:themeColor="background2"/>
              </w:rPr>
              <w:t xml:space="preserve">Timing </w:t>
            </w:r>
            <w:r w:rsidR="00677D73">
              <w:rPr>
                <w:color w:val="00264D" w:themeColor="background2"/>
              </w:rPr>
              <w:t>R</w:t>
            </w:r>
            <w:r w:rsidRPr="0043363C">
              <w:rPr>
                <w:color w:val="00264D" w:themeColor="background2"/>
              </w:rPr>
              <w:t>eview conducted</w:t>
            </w:r>
          </w:p>
        </w:tc>
      </w:tr>
      <w:tr w:rsidR="00CC1941" w:rsidRPr="00BB1AA6" w14:paraId="120E9F11" w14:textId="77777777" w:rsidTr="000947BF">
        <w:tc>
          <w:tcPr>
            <w:tcW w:w="993" w:type="dxa"/>
            <w:vMerge w:val="restart"/>
          </w:tcPr>
          <w:p w14:paraId="7AF5F6AA" w14:textId="77777777" w:rsidR="00CC1941" w:rsidRPr="00BB1AA6" w:rsidRDefault="00CC1941" w:rsidP="000947BF">
            <w:pPr>
              <w:pStyle w:val="TableExpText"/>
              <w:rPr>
                <w:rFonts w:cs="Segoe UI"/>
                <w:color w:val="000000" w:themeColor="text1"/>
                <w:szCs w:val="19"/>
              </w:rPr>
            </w:pPr>
            <w:r>
              <w:rPr>
                <w:rFonts w:cs="Segoe UI"/>
                <w:color w:val="000000" w:themeColor="text1"/>
                <w:szCs w:val="19"/>
              </w:rPr>
              <w:t>Tranche 1 (2017)</w:t>
            </w:r>
          </w:p>
        </w:tc>
        <w:tc>
          <w:tcPr>
            <w:tcW w:w="3685" w:type="dxa"/>
          </w:tcPr>
          <w:p w14:paraId="4904C6E0" w14:textId="77777777" w:rsidR="00CC1941" w:rsidRPr="00BB1AA6" w:rsidRDefault="00CC1941" w:rsidP="000947BF">
            <w:pPr>
              <w:pStyle w:val="TableExpText"/>
              <w:rPr>
                <w:rFonts w:cs="Segoe UI"/>
                <w:color w:val="000000" w:themeColor="text1"/>
                <w:szCs w:val="19"/>
                <w:lang w:val="en-US"/>
              </w:rPr>
            </w:pPr>
            <w:r>
              <w:rPr>
                <w:rFonts w:cs="Segoe UI"/>
                <w:color w:val="000000" w:themeColor="text1"/>
                <w:szCs w:val="19"/>
                <w:lang w:val="en-US"/>
              </w:rPr>
              <w:t>Central Desert Native Title Services</w:t>
            </w:r>
          </w:p>
        </w:tc>
        <w:tc>
          <w:tcPr>
            <w:tcW w:w="1843" w:type="dxa"/>
            <w:vMerge w:val="restart"/>
          </w:tcPr>
          <w:p w14:paraId="574E6799" w14:textId="77777777" w:rsidR="00CC1941" w:rsidRPr="0036670E" w:rsidRDefault="00CC1941" w:rsidP="000947BF">
            <w:pPr>
              <w:pStyle w:val="TableExpText"/>
              <w:rPr>
                <w:rFonts w:cs="Segoe UI"/>
                <w:color w:val="000000" w:themeColor="text1"/>
                <w:szCs w:val="19"/>
                <w:lang w:val="en-US"/>
              </w:rPr>
            </w:pPr>
            <w:r>
              <w:rPr>
                <w:rFonts w:cs="Segoe UI"/>
                <w:color w:val="000000" w:themeColor="text1"/>
                <w:szCs w:val="19"/>
                <w:lang w:val="en-US"/>
              </w:rPr>
              <w:t xml:space="preserve">July 2014 – </w:t>
            </w:r>
            <w:r w:rsidRPr="0036670E">
              <w:rPr>
                <w:rFonts w:cs="Segoe UI"/>
                <w:color w:val="000000" w:themeColor="text1"/>
                <w:szCs w:val="19"/>
                <w:lang w:val="en-US"/>
              </w:rPr>
              <w:t>June 2017</w:t>
            </w:r>
          </w:p>
        </w:tc>
        <w:tc>
          <w:tcPr>
            <w:tcW w:w="2410" w:type="dxa"/>
            <w:vMerge w:val="restart"/>
          </w:tcPr>
          <w:p w14:paraId="75E94BD2" w14:textId="77777777" w:rsidR="00CC1941" w:rsidRPr="0036670E" w:rsidRDefault="00CC1941" w:rsidP="000947BF">
            <w:pPr>
              <w:pStyle w:val="TableExpText"/>
              <w:rPr>
                <w:rFonts w:cs="Segoe UI"/>
                <w:color w:val="000000" w:themeColor="text1"/>
                <w:szCs w:val="19"/>
                <w:lang w:val="en-US"/>
              </w:rPr>
            </w:pPr>
            <w:r>
              <w:rPr>
                <w:rFonts w:cs="Segoe UI"/>
                <w:color w:val="000000" w:themeColor="text1"/>
                <w:szCs w:val="19"/>
                <w:lang w:val="en-US"/>
              </w:rPr>
              <w:t xml:space="preserve">June 2017 – </w:t>
            </w:r>
            <w:r w:rsidRPr="0036670E">
              <w:rPr>
                <w:rFonts w:cs="Segoe UI"/>
                <w:color w:val="000000" w:themeColor="text1"/>
                <w:szCs w:val="19"/>
                <w:lang w:val="en-US"/>
              </w:rPr>
              <w:t>March 2018</w:t>
            </w:r>
          </w:p>
        </w:tc>
      </w:tr>
      <w:tr w:rsidR="00CC1941" w:rsidRPr="00BB1AA6" w14:paraId="6DC80085" w14:textId="77777777" w:rsidTr="000947BF">
        <w:tc>
          <w:tcPr>
            <w:tcW w:w="993" w:type="dxa"/>
            <w:vMerge/>
          </w:tcPr>
          <w:p w14:paraId="55F918AE" w14:textId="77777777" w:rsidR="00CC1941" w:rsidRPr="00BB1AA6" w:rsidRDefault="00CC1941" w:rsidP="000947BF">
            <w:pPr>
              <w:pStyle w:val="TableExpText"/>
              <w:rPr>
                <w:rFonts w:cs="Segoe UI"/>
                <w:color w:val="000000" w:themeColor="text1"/>
                <w:szCs w:val="19"/>
              </w:rPr>
            </w:pPr>
          </w:p>
        </w:tc>
        <w:tc>
          <w:tcPr>
            <w:tcW w:w="3685" w:type="dxa"/>
            <w:vAlign w:val="top"/>
          </w:tcPr>
          <w:p w14:paraId="5034AC51" w14:textId="77777777" w:rsidR="00CC1941" w:rsidRPr="00BB1AA6" w:rsidRDefault="00CC1941" w:rsidP="000947BF">
            <w:pPr>
              <w:pStyle w:val="TableExpText"/>
              <w:rPr>
                <w:rFonts w:cs="Segoe UI"/>
                <w:color w:val="000000" w:themeColor="text1"/>
                <w:szCs w:val="19"/>
              </w:rPr>
            </w:pPr>
            <w:r w:rsidRPr="00AA08B3">
              <w:t>First Nations Legal and Research Services</w:t>
            </w:r>
          </w:p>
        </w:tc>
        <w:tc>
          <w:tcPr>
            <w:tcW w:w="1843" w:type="dxa"/>
            <w:vMerge/>
          </w:tcPr>
          <w:p w14:paraId="0FC388DA" w14:textId="77777777" w:rsidR="00CC1941" w:rsidRPr="00BB1AA6" w:rsidRDefault="00CC1941" w:rsidP="000947BF">
            <w:pPr>
              <w:pStyle w:val="TableExpText"/>
              <w:rPr>
                <w:rFonts w:cs="Segoe UI"/>
                <w:color w:val="000000" w:themeColor="text1"/>
                <w:szCs w:val="19"/>
              </w:rPr>
            </w:pPr>
          </w:p>
        </w:tc>
        <w:tc>
          <w:tcPr>
            <w:tcW w:w="2410" w:type="dxa"/>
            <w:vMerge/>
          </w:tcPr>
          <w:p w14:paraId="5B65DC79" w14:textId="77777777" w:rsidR="00CC1941" w:rsidRPr="00BB1AA6" w:rsidRDefault="00CC1941" w:rsidP="000947BF">
            <w:pPr>
              <w:pStyle w:val="TableExpText"/>
              <w:rPr>
                <w:rFonts w:cs="Segoe UI"/>
                <w:color w:val="000000" w:themeColor="text1"/>
                <w:szCs w:val="19"/>
              </w:rPr>
            </w:pPr>
          </w:p>
        </w:tc>
      </w:tr>
      <w:tr w:rsidR="00CC1941" w:rsidRPr="00BB1AA6" w14:paraId="7A219BFC" w14:textId="77777777" w:rsidTr="000947BF">
        <w:tc>
          <w:tcPr>
            <w:tcW w:w="993" w:type="dxa"/>
            <w:vMerge/>
          </w:tcPr>
          <w:p w14:paraId="2CC8E41B" w14:textId="77777777" w:rsidR="00CC1941" w:rsidRPr="00BB1AA6" w:rsidRDefault="00CC1941" w:rsidP="000947BF">
            <w:pPr>
              <w:pStyle w:val="TableExpText"/>
              <w:rPr>
                <w:rFonts w:cs="Segoe UI"/>
                <w:color w:val="000000" w:themeColor="text1"/>
                <w:szCs w:val="19"/>
              </w:rPr>
            </w:pPr>
          </w:p>
        </w:tc>
        <w:tc>
          <w:tcPr>
            <w:tcW w:w="3685" w:type="dxa"/>
            <w:vAlign w:val="top"/>
          </w:tcPr>
          <w:p w14:paraId="31E3A7F7" w14:textId="77777777" w:rsidR="00CC1941" w:rsidRPr="00BB1AA6" w:rsidRDefault="00CC1941" w:rsidP="000947BF">
            <w:pPr>
              <w:pStyle w:val="TableExpText"/>
              <w:rPr>
                <w:rFonts w:cs="Segoe UI"/>
                <w:color w:val="000000" w:themeColor="text1"/>
                <w:szCs w:val="19"/>
                <w:lang w:val="en-US"/>
              </w:rPr>
            </w:pPr>
            <w:r w:rsidRPr="00AA08B3">
              <w:t>Goldfields Land and Sea Council</w:t>
            </w:r>
          </w:p>
        </w:tc>
        <w:tc>
          <w:tcPr>
            <w:tcW w:w="1843" w:type="dxa"/>
            <w:vMerge/>
          </w:tcPr>
          <w:p w14:paraId="05AF8580" w14:textId="77777777" w:rsidR="00CC1941" w:rsidRPr="00BB1AA6" w:rsidRDefault="00CC1941" w:rsidP="000947BF">
            <w:pPr>
              <w:pStyle w:val="TableExpText"/>
              <w:rPr>
                <w:rFonts w:cs="Segoe UI"/>
                <w:color w:val="000000" w:themeColor="text1"/>
                <w:szCs w:val="19"/>
                <w:lang w:val="en-US"/>
              </w:rPr>
            </w:pPr>
          </w:p>
        </w:tc>
        <w:tc>
          <w:tcPr>
            <w:tcW w:w="2410" w:type="dxa"/>
            <w:vMerge/>
          </w:tcPr>
          <w:p w14:paraId="39A14004" w14:textId="77777777" w:rsidR="00CC1941" w:rsidRPr="00BB1AA6" w:rsidRDefault="00CC1941" w:rsidP="000947BF">
            <w:pPr>
              <w:pStyle w:val="TableExpText"/>
              <w:rPr>
                <w:rFonts w:cs="Segoe UI"/>
                <w:color w:val="000000" w:themeColor="text1"/>
                <w:szCs w:val="19"/>
                <w:lang w:val="en-US"/>
              </w:rPr>
            </w:pPr>
          </w:p>
        </w:tc>
      </w:tr>
      <w:tr w:rsidR="00CC1941" w:rsidRPr="00BB1AA6" w14:paraId="138B77A2" w14:textId="77777777" w:rsidTr="000947BF">
        <w:tc>
          <w:tcPr>
            <w:tcW w:w="993" w:type="dxa"/>
            <w:vMerge/>
          </w:tcPr>
          <w:p w14:paraId="766A1E23" w14:textId="77777777" w:rsidR="00CC1941" w:rsidRPr="00BB1AA6" w:rsidRDefault="00CC1941" w:rsidP="000947BF">
            <w:pPr>
              <w:pStyle w:val="TableExpText"/>
              <w:rPr>
                <w:rFonts w:cs="Segoe UI"/>
                <w:color w:val="000000" w:themeColor="text1"/>
                <w:szCs w:val="19"/>
              </w:rPr>
            </w:pPr>
          </w:p>
        </w:tc>
        <w:tc>
          <w:tcPr>
            <w:tcW w:w="3685" w:type="dxa"/>
            <w:vAlign w:val="top"/>
          </w:tcPr>
          <w:p w14:paraId="60130DD6" w14:textId="77777777" w:rsidR="00CC1941" w:rsidRPr="00CB3614" w:rsidRDefault="00CC1941" w:rsidP="000947BF">
            <w:pPr>
              <w:pStyle w:val="TableExpText"/>
              <w:rPr>
                <w:rFonts w:cs="Segoe UI"/>
                <w:bCs/>
                <w:color w:val="000000" w:themeColor="text1"/>
                <w:szCs w:val="19"/>
                <w:lang w:val="en-US"/>
              </w:rPr>
            </w:pPr>
            <w:r w:rsidRPr="00CB3614">
              <w:rPr>
                <w:bCs/>
              </w:rPr>
              <w:t>Native Title Services Corporation</w:t>
            </w:r>
          </w:p>
        </w:tc>
        <w:tc>
          <w:tcPr>
            <w:tcW w:w="1843" w:type="dxa"/>
            <w:vMerge/>
          </w:tcPr>
          <w:p w14:paraId="5606C4F3" w14:textId="77777777" w:rsidR="00CC1941" w:rsidRPr="00BB1AA6" w:rsidRDefault="00CC1941" w:rsidP="000947BF">
            <w:pPr>
              <w:pStyle w:val="TableExpText"/>
              <w:rPr>
                <w:rFonts w:cs="Segoe UI"/>
                <w:color w:val="000000" w:themeColor="text1"/>
                <w:szCs w:val="19"/>
                <w:lang w:val="en-US"/>
              </w:rPr>
            </w:pPr>
          </w:p>
        </w:tc>
        <w:tc>
          <w:tcPr>
            <w:tcW w:w="2410" w:type="dxa"/>
            <w:vMerge/>
          </w:tcPr>
          <w:p w14:paraId="5CBE81EE" w14:textId="77777777" w:rsidR="00CC1941" w:rsidRPr="00BB1AA6" w:rsidRDefault="00CC1941" w:rsidP="000947BF">
            <w:pPr>
              <w:pStyle w:val="TableExpText"/>
              <w:rPr>
                <w:rFonts w:cs="Segoe UI"/>
                <w:color w:val="000000" w:themeColor="text1"/>
                <w:szCs w:val="19"/>
                <w:lang w:val="en-US"/>
              </w:rPr>
            </w:pPr>
          </w:p>
        </w:tc>
      </w:tr>
      <w:tr w:rsidR="00CC1941" w:rsidRPr="00BB1AA6" w14:paraId="47397769" w14:textId="77777777" w:rsidTr="000947BF">
        <w:tc>
          <w:tcPr>
            <w:tcW w:w="993" w:type="dxa"/>
            <w:vMerge/>
          </w:tcPr>
          <w:p w14:paraId="6879321A" w14:textId="77777777" w:rsidR="00CC1941" w:rsidRPr="00BB1AA6" w:rsidRDefault="00CC1941" w:rsidP="000947BF">
            <w:pPr>
              <w:pStyle w:val="TableExpText"/>
              <w:rPr>
                <w:rFonts w:cs="Segoe UI"/>
                <w:color w:val="000000" w:themeColor="text1"/>
                <w:szCs w:val="19"/>
              </w:rPr>
            </w:pPr>
          </w:p>
        </w:tc>
        <w:tc>
          <w:tcPr>
            <w:tcW w:w="3685" w:type="dxa"/>
            <w:vAlign w:val="top"/>
          </w:tcPr>
          <w:p w14:paraId="0C840EC0" w14:textId="77777777" w:rsidR="00CC1941" w:rsidRPr="00131D1D" w:rsidRDefault="00CC1941" w:rsidP="000947BF">
            <w:pPr>
              <w:pStyle w:val="TableExpText"/>
              <w:rPr>
                <w:rFonts w:cs="Segoe UI"/>
                <w:color w:val="000000" w:themeColor="text1"/>
                <w:szCs w:val="19"/>
                <w:lang w:val="en-US"/>
              </w:rPr>
            </w:pPr>
            <w:r w:rsidRPr="00131D1D">
              <w:t>Queensland South Native Title Services</w:t>
            </w:r>
          </w:p>
        </w:tc>
        <w:tc>
          <w:tcPr>
            <w:tcW w:w="1843" w:type="dxa"/>
            <w:vMerge/>
          </w:tcPr>
          <w:p w14:paraId="4136A687" w14:textId="77777777" w:rsidR="00CC1941" w:rsidRPr="00BB1AA6" w:rsidRDefault="00CC1941" w:rsidP="000947BF">
            <w:pPr>
              <w:pStyle w:val="TableExpText"/>
              <w:rPr>
                <w:rFonts w:cs="Segoe UI"/>
                <w:color w:val="000000" w:themeColor="text1"/>
                <w:szCs w:val="19"/>
                <w:lang w:val="en-US"/>
              </w:rPr>
            </w:pPr>
          </w:p>
        </w:tc>
        <w:tc>
          <w:tcPr>
            <w:tcW w:w="2410" w:type="dxa"/>
            <w:vMerge/>
          </w:tcPr>
          <w:p w14:paraId="689F6D85" w14:textId="77777777" w:rsidR="00CC1941" w:rsidRPr="00BB1AA6" w:rsidRDefault="00CC1941" w:rsidP="000947BF">
            <w:pPr>
              <w:pStyle w:val="TableExpText"/>
              <w:rPr>
                <w:rFonts w:cs="Segoe UI"/>
                <w:color w:val="000000" w:themeColor="text1"/>
                <w:szCs w:val="19"/>
                <w:lang w:val="en-US"/>
              </w:rPr>
            </w:pPr>
          </w:p>
        </w:tc>
      </w:tr>
      <w:tr w:rsidR="00CC1941" w:rsidRPr="00BB1AA6" w14:paraId="241A5E8C" w14:textId="77777777" w:rsidTr="000947BF">
        <w:tc>
          <w:tcPr>
            <w:tcW w:w="993" w:type="dxa"/>
            <w:vMerge w:val="restart"/>
          </w:tcPr>
          <w:p w14:paraId="02A6C6CC" w14:textId="77777777" w:rsidR="00CC1941" w:rsidRPr="00BB1AA6" w:rsidRDefault="00CC1941" w:rsidP="000947BF">
            <w:pPr>
              <w:pStyle w:val="TableExpText"/>
              <w:rPr>
                <w:rFonts w:cs="Segoe UI"/>
                <w:color w:val="000000" w:themeColor="text1"/>
                <w:szCs w:val="19"/>
              </w:rPr>
            </w:pPr>
            <w:r>
              <w:rPr>
                <w:rFonts w:cs="Segoe UI"/>
                <w:color w:val="000000" w:themeColor="text1"/>
                <w:szCs w:val="19"/>
              </w:rPr>
              <w:t>Tranche 2 (2018)</w:t>
            </w:r>
          </w:p>
        </w:tc>
        <w:tc>
          <w:tcPr>
            <w:tcW w:w="3685" w:type="dxa"/>
            <w:vAlign w:val="top"/>
          </w:tcPr>
          <w:p w14:paraId="532536CE" w14:textId="77777777" w:rsidR="00CC1941" w:rsidRPr="00CB3614" w:rsidRDefault="00CC1941" w:rsidP="000947BF">
            <w:pPr>
              <w:pStyle w:val="TableExpText"/>
              <w:rPr>
                <w:rFonts w:cs="Segoe UI"/>
                <w:b/>
                <w:color w:val="000000" w:themeColor="text1"/>
                <w:szCs w:val="19"/>
                <w:lang w:val="en-US"/>
              </w:rPr>
            </w:pPr>
            <w:r w:rsidRPr="00CB3614">
              <w:rPr>
                <w:b/>
              </w:rPr>
              <w:t>Cape York Land Council</w:t>
            </w:r>
          </w:p>
        </w:tc>
        <w:tc>
          <w:tcPr>
            <w:tcW w:w="1843" w:type="dxa"/>
            <w:vMerge w:val="restart"/>
          </w:tcPr>
          <w:p w14:paraId="55B46D9B" w14:textId="77777777" w:rsidR="00CC1941" w:rsidRPr="0036670E" w:rsidRDefault="00CC1941" w:rsidP="000947BF">
            <w:pPr>
              <w:pStyle w:val="TableExpText"/>
              <w:rPr>
                <w:rFonts w:cs="Segoe UI"/>
                <w:color w:val="000000" w:themeColor="text1"/>
                <w:szCs w:val="19"/>
                <w:lang w:val="en-US"/>
              </w:rPr>
            </w:pPr>
            <w:r>
              <w:rPr>
                <w:rFonts w:cs="Segoe UI"/>
                <w:color w:val="000000" w:themeColor="text1"/>
                <w:szCs w:val="19"/>
                <w:lang w:val="en-US"/>
              </w:rPr>
              <w:t xml:space="preserve">July 2015 – </w:t>
            </w:r>
            <w:r w:rsidRPr="0036670E">
              <w:rPr>
                <w:rFonts w:cs="Segoe UI"/>
                <w:color w:val="000000" w:themeColor="text1"/>
                <w:szCs w:val="19"/>
                <w:lang w:val="en-US"/>
              </w:rPr>
              <w:t>June 2018</w:t>
            </w:r>
          </w:p>
        </w:tc>
        <w:tc>
          <w:tcPr>
            <w:tcW w:w="2410" w:type="dxa"/>
            <w:vMerge w:val="restart"/>
          </w:tcPr>
          <w:p w14:paraId="05DDABF4" w14:textId="77777777" w:rsidR="00CC1941" w:rsidRPr="00BB1AA6" w:rsidRDefault="00CC1941" w:rsidP="000947BF">
            <w:pPr>
              <w:pStyle w:val="TableExpText"/>
              <w:rPr>
                <w:rFonts w:cs="Segoe UI"/>
                <w:color w:val="000000" w:themeColor="text1"/>
                <w:szCs w:val="19"/>
                <w:lang w:val="en-US"/>
              </w:rPr>
            </w:pPr>
            <w:r>
              <w:rPr>
                <w:rFonts w:cs="Segoe UI"/>
                <w:color w:val="000000" w:themeColor="text1"/>
                <w:szCs w:val="19"/>
                <w:lang w:val="en-US"/>
              </w:rPr>
              <w:t>September 2018 – April 2019</w:t>
            </w:r>
          </w:p>
        </w:tc>
      </w:tr>
      <w:tr w:rsidR="00CC1941" w:rsidRPr="00BB1AA6" w14:paraId="669CAE6E" w14:textId="77777777" w:rsidTr="000947BF">
        <w:tc>
          <w:tcPr>
            <w:tcW w:w="993" w:type="dxa"/>
            <w:vMerge/>
          </w:tcPr>
          <w:p w14:paraId="22A9EF76" w14:textId="77777777" w:rsidR="00CC1941" w:rsidRPr="00BB1AA6" w:rsidRDefault="00CC1941" w:rsidP="000947BF">
            <w:pPr>
              <w:pStyle w:val="TableExpText"/>
              <w:rPr>
                <w:rFonts w:cs="Segoe UI"/>
                <w:color w:val="000000" w:themeColor="text1"/>
                <w:szCs w:val="19"/>
              </w:rPr>
            </w:pPr>
          </w:p>
        </w:tc>
        <w:tc>
          <w:tcPr>
            <w:tcW w:w="3685" w:type="dxa"/>
            <w:vAlign w:val="top"/>
          </w:tcPr>
          <w:p w14:paraId="6C544A18" w14:textId="77777777" w:rsidR="00CC1941" w:rsidRPr="00BB1AA6" w:rsidRDefault="00CC1941" w:rsidP="000947BF">
            <w:pPr>
              <w:pStyle w:val="TableExpText"/>
              <w:rPr>
                <w:rFonts w:cs="Segoe UI"/>
                <w:color w:val="000000" w:themeColor="text1"/>
                <w:szCs w:val="19"/>
                <w:lang w:val="en-US"/>
              </w:rPr>
            </w:pPr>
            <w:r w:rsidRPr="00197B40">
              <w:t xml:space="preserve">Carpentaria </w:t>
            </w:r>
            <w:r>
              <w:t>L</w:t>
            </w:r>
            <w:r w:rsidRPr="00197B40">
              <w:t>and Council Aboriginal Corporation</w:t>
            </w:r>
          </w:p>
        </w:tc>
        <w:tc>
          <w:tcPr>
            <w:tcW w:w="1843" w:type="dxa"/>
            <w:vMerge/>
          </w:tcPr>
          <w:p w14:paraId="78AB7ED0" w14:textId="77777777" w:rsidR="00CC1941" w:rsidRPr="00BB1AA6" w:rsidRDefault="00CC1941" w:rsidP="000947BF">
            <w:pPr>
              <w:pStyle w:val="TableExpText"/>
              <w:rPr>
                <w:rFonts w:cs="Segoe UI"/>
                <w:color w:val="000000" w:themeColor="text1"/>
                <w:szCs w:val="19"/>
                <w:lang w:val="en-US"/>
              </w:rPr>
            </w:pPr>
          </w:p>
        </w:tc>
        <w:tc>
          <w:tcPr>
            <w:tcW w:w="2410" w:type="dxa"/>
            <w:vMerge/>
          </w:tcPr>
          <w:p w14:paraId="662CFAC1" w14:textId="77777777" w:rsidR="00CC1941" w:rsidRPr="00BB1AA6" w:rsidRDefault="00CC1941" w:rsidP="000947BF">
            <w:pPr>
              <w:pStyle w:val="TableExpText"/>
              <w:rPr>
                <w:rFonts w:cs="Segoe UI"/>
                <w:color w:val="000000" w:themeColor="text1"/>
                <w:szCs w:val="19"/>
                <w:lang w:val="en-US"/>
              </w:rPr>
            </w:pPr>
          </w:p>
        </w:tc>
      </w:tr>
      <w:tr w:rsidR="00CC1941" w:rsidRPr="00BB1AA6" w14:paraId="6F9A39D3" w14:textId="77777777" w:rsidTr="000947BF">
        <w:tc>
          <w:tcPr>
            <w:tcW w:w="993" w:type="dxa"/>
            <w:vMerge/>
          </w:tcPr>
          <w:p w14:paraId="23DC9684" w14:textId="77777777" w:rsidR="00CC1941" w:rsidRPr="00BB1AA6" w:rsidRDefault="00CC1941" w:rsidP="000947BF">
            <w:pPr>
              <w:pStyle w:val="TableExpText"/>
              <w:rPr>
                <w:rFonts w:cs="Segoe UI"/>
                <w:color w:val="000000" w:themeColor="text1"/>
                <w:szCs w:val="19"/>
              </w:rPr>
            </w:pPr>
          </w:p>
        </w:tc>
        <w:tc>
          <w:tcPr>
            <w:tcW w:w="3685" w:type="dxa"/>
            <w:vAlign w:val="top"/>
          </w:tcPr>
          <w:p w14:paraId="608716A6" w14:textId="77777777" w:rsidR="00CC1941" w:rsidRPr="00BB1AA6" w:rsidRDefault="00CC1941" w:rsidP="000947BF">
            <w:pPr>
              <w:pStyle w:val="TableExpText"/>
              <w:rPr>
                <w:rFonts w:cs="Segoe UI"/>
                <w:color w:val="000000" w:themeColor="text1"/>
                <w:szCs w:val="19"/>
                <w:lang w:val="en-US"/>
              </w:rPr>
            </w:pPr>
            <w:r w:rsidRPr="00197B40">
              <w:t>Kimberly Land Council</w:t>
            </w:r>
          </w:p>
        </w:tc>
        <w:tc>
          <w:tcPr>
            <w:tcW w:w="1843" w:type="dxa"/>
            <w:vMerge/>
          </w:tcPr>
          <w:p w14:paraId="397CD032" w14:textId="77777777" w:rsidR="00CC1941" w:rsidRPr="00BB1AA6" w:rsidRDefault="00CC1941" w:rsidP="000947BF">
            <w:pPr>
              <w:pStyle w:val="TableExpText"/>
              <w:rPr>
                <w:rFonts w:cs="Segoe UI"/>
                <w:color w:val="000000" w:themeColor="text1"/>
                <w:szCs w:val="19"/>
                <w:lang w:val="en-US"/>
              </w:rPr>
            </w:pPr>
          </w:p>
        </w:tc>
        <w:tc>
          <w:tcPr>
            <w:tcW w:w="2410" w:type="dxa"/>
            <w:vMerge/>
          </w:tcPr>
          <w:p w14:paraId="044BEB9B" w14:textId="77777777" w:rsidR="00CC1941" w:rsidRPr="00BB1AA6" w:rsidRDefault="00CC1941" w:rsidP="000947BF">
            <w:pPr>
              <w:pStyle w:val="TableExpText"/>
              <w:rPr>
                <w:rFonts w:cs="Segoe UI"/>
                <w:color w:val="000000" w:themeColor="text1"/>
                <w:szCs w:val="19"/>
                <w:lang w:val="en-US"/>
              </w:rPr>
            </w:pPr>
          </w:p>
        </w:tc>
      </w:tr>
      <w:tr w:rsidR="00CC1941" w:rsidRPr="00BB1AA6" w14:paraId="2F72D7F6" w14:textId="77777777" w:rsidTr="000947BF">
        <w:tc>
          <w:tcPr>
            <w:tcW w:w="993" w:type="dxa"/>
            <w:vMerge/>
          </w:tcPr>
          <w:p w14:paraId="0AA94D6A" w14:textId="77777777" w:rsidR="00CC1941" w:rsidRPr="00BB1AA6" w:rsidRDefault="00CC1941" w:rsidP="000947BF">
            <w:pPr>
              <w:pStyle w:val="TableExpText"/>
              <w:rPr>
                <w:rFonts w:cs="Segoe UI"/>
                <w:color w:val="000000" w:themeColor="text1"/>
                <w:szCs w:val="19"/>
              </w:rPr>
            </w:pPr>
          </w:p>
        </w:tc>
        <w:tc>
          <w:tcPr>
            <w:tcW w:w="3685" w:type="dxa"/>
            <w:vAlign w:val="top"/>
          </w:tcPr>
          <w:p w14:paraId="1C0B956E" w14:textId="77777777" w:rsidR="00CC1941" w:rsidRPr="00BB1AA6" w:rsidRDefault="00CC1941" w:rsidP="000947BF">
            <w:pPr>
              <w:pStyle w:val="TableExpText"/>
              <w:rPr>
                <w:rFonts w:cs="Segoe UI"/>
                <w:color w:val="000000" w:themeColor="text1"/>
                <w:szCs w:val="19"/>
                <w:lang w:val="en-US"/>
              </w:rPr>
            </w:pPr>
            <w:r w:rsidRPr="00197B40">
              <w:t xml:space="preserve">North Queensland </w:t>
            </w:r>
            <w:r>
              <w:t>L</w:t>
            </w:r>
            <w:r w:rsidRPr="00197B40">
              <w:t>and Council</w:t>
            </w:r>
          </w:p>
        </w:tc>
        <w:tc>
          <w:tcPr>
            <w:tcW w:w="1843" w:type="dxa"/>
            <w:vMerge/>
          </w:tcPr>
          <w:p w14:paraId="0370601A" w14:textId="77777777" w:rsidR="00CC1941" w:rsidRPr="00BB1AA6" w:rsidRDefault="00CC1941" w:rsidP="000947BF">
            <w:pPr>
              <w:pStyle w:val="TableExpText"/>
              <w:rPr>
                <w:rFonts w:cs="Segoe UI"/>
                <w:color w:val="000000" w:themeColor="text1"/>
                <w:szCs w:val="19"/>
                <w:lang w:val="en-US"/>
              </w:rPr>
            </w:pPr>
          </w:p>
        </w:tc>
        <w:tc>
          <w:tcPr>
            <w:tcW w:w="2410" w:type="dxa"/>
            <w:vMerge/>
          </w:tcPr>
          <w:p w14:paraId="09236F55" w14:textId="77777777" w:rsidR="00CC1941" w:rsidRPr="00BB1AA6" w:rsidRDefault="00CC1941" w:rsidP="000947BF">
            <w:pPr>
              <w:pStyle w:val="TableExpText"/>
              <w:rPr>
                <w:rFonts w:cs="Segoe UI"/>
                <w:color w:val="000000" w:themeColor="text1"/>
                <w:szCs w:val="19"/>
                <w:lang w:val="en-US"/>
              </w:rPr>
            </w:pPr>
          </w:p>
        </w:tc>
      </w:tr>
      <w:tr w:rsidR="00CC1941" w:rsidRPr="00BB1AA6" w14:paraId="3AC58386" w14:textId="77777777" w:rsidTr="000947BF">
        <w:tc>
          <w:tcPr>
            <w:tcW w:w="993" w:type="dxa"/>
            <w:vMerge/>
          </w:tcPr>
          <w:p w14:paraId="63D3C82A" w14:textId="77777777" w:rsidR="00CC1941" w:rsidRPr="00BB1AA6" w:rsidRDefault="00CC1941" w:rsidP="000947BF">
            <w:pPr>
              <w:pStyle w:val="TableExpText"/>
              <w:rPr>
                <w:rFonts w:cs="Segoe UI"/>
                <w:color w:val="000000" w:themeColor="text1"/>
                <w:szCs w:val="19"/>
              </w:rPr>
            </w:pPr>
          </w:p>
        </w:tc>
        <w:tc>
          <w:tcPr>
            <w:tcW w:w="3685" w:type="dxa"/>
            <w:vAlign w:val="top"/>
          </w:tcPr>
          <w:p w14:paraId="4EB2DE41" w14:textId="77777777" w:rsidR="00CC1941" w:rsidRPr="00BB1AA6" w:rsidRDefault="00CC1941" w:rsidP="000947BF">
            <w:pPr>
              <w:pStyle w:val="TableExpText"/>
              <w:rPr>
                <w:rFonts w:cs="Segoe UI"/>
                <w:color w:val="000000" w:themeColor="text1"/>
                <w:szCs w:val="19"/>
                <w:lang w:val="en-US"/>
              </w:rPr>
            </w:pPr>
            <w:r w:rsidRPr="00197B40">
              <w:t>South Australia Native Title Services</w:t>
            </w:r>
          </w:p>
        </w:tc>
        <w:tc>
          <w:tcPr>
            <w:tcW w:w="1843" w:type="dxa"/>
            <w:vMerge/>
          </w:tcPr>
          <w:p w14:paraId="3F054C23" w14:textId="77777777" w:rsidR="00CC1941" w:rsidRPr="00BB1AA6" w:rsidRDefault="00CC1941" w:rsidP="000947BF">
            <w:pPr>
              <w:pStyle w:val="TableExpText"/>
              <w:rPr>
                <w:rFonts w:cs="Segoe UI"/>
                <w:color w:val="000000" w:themeColor="text1"/>
                <w:szCs w:val="19"/>
                <w:lang w:val="en-US"/>
              </w:rPr>
            </w:pPr>
          </w:p>
        </w:tc>
        <w:tc>
          <w:tcPr>
            <w:tcW w:w="2410" w:type="dxa"/>
            <w:vMerge/>
          </w:tcPr>
          <w:p w14:paraId="4946C377" w14:textId="77777777" w:rsidR="00CC1941" w:rsidRPr="00BB1AA6" w:rsidRDefault="00CC1941" w:rsidP="000947BF">
            <w:pPr>
              <w:pStyle w:val="TableExpText"/>
              <w:rPr>
                <w:rFonts w:cs="Segoe UI"/>
                <w:color w:val="000000" w:themeColor="text1"/>
                <w:szCs w:val="19"/>
                <w:lang w:val="en-US"/>
              </w:rPr>
            </w:pPr>
          </w:p>
        </w:tc>
      </w:tr>
      <w:tr w:rsidR="00CC1941" w:rsidRPr="00BB1AA6" w14:paraId="695568D9" w14:textId="77777777" w:rsidTr="000947BF">
        <w:tc>
          <w:tcPr>
            <w:tcW w:w="993" w:type="dxa"/>
            <w:vMerge/>
          </w:tcPr>
          <w:p w14:paraId="4653769C" w14:textId="77777777" w:rsidR="00CC1941" w:rsidRPr="00BB1AA6" w:rsidRDefault="00CC1941" w:rsidP="000947BF">
            <w:pPr>
              <w:pStyle w:val="TableExpText"/>
              <w:rPr>
                <w:rFonts w:cs="Segoe UI"/>
                <w:color w:val="000000" w:themeColor="text1"/>
                <w:szCs w:val="19"/>
              </w:rPr>
            </w:pPr>
          </w:p>
        </w:tc>
        <w:tc>
          <w:tcPr>
            <w:tcW w:w="3685" w:type="dxa"/>
            <w:vAlign w:val="top"/>
          </w:tcPr>
          <w:p w14:paraId="0AFA0ABA" w14:textId="77777777" w:rsidR="00CC1941" w:rsidRPr="00BB1AA6" w:rsidRDefault="00CC1941" w:rsidP="000947BF">
            <w:pPr>
              <w:pStyle w:val="TableExpText"/>
              <w:rPr>
                <w:rFonts w:cs="Segoe UI"/>
                <w:color w:val="000000" w:themeColor="text1"/>
                <w:szCs w:val="19"/>
                <w:lang w:val="en-US"/>
              </w:rPr>
            </w:pPr>
            <w:proofErr w:type="spellStart"/>
            <w:r w:rsidRPr="00197B40">
              <w:t>Yamatji</w:t>
            </w:r>
            <w:proofErr w:type="spellEnd"/>
            <w:r w:rsidRPr="00197B40">
              <w:t xml:space="preserve"> </w:t>
            </w:r>
            <w:proofErr w:type="spellStart"/>
            <w:r w:rsidRPr="00197B40">
              <w:t>Marlpa</w:t>
            </w:r>
            <w:proofErr w:type="spellEnd"/>
            <w:r w:rsidRPr="00197B40">
              <w:t xml:space="preserve"> Aboriginal Corporation</w:t>
            </w:r>
          </w:p>
        </w:tc>
        <w:tc>
          <w:tcPr>
            <w:tcW w:w="1843" w:type="dxa"/>
            <w:vMerge/>
          </w:tcPr>
          <w:p w14:paraId="357A430F" w14:textId="77777777" w:rsidR="00CC1941" w:rsidRPr="00BB1AA6" w:rsidRDefault="00CC1941" w:rsidP="000947BF">
            <w:pPr>
              <w:pStyle w:val="TableExpText"/>
              <w:rPr>
                <w:rFonts w:cs="Segoe UI"/>
                <w:color w:val="000000" w:themeColor="text1"/>
                <w:szCs w:val="19"/>
                <w:lang w:val="en-US"/>
              </w:rPr>
            </w:pPr>
          </w:p>
        </w:tc>
        <w:tc>
          <w:tcPr>
            <w:tcW w:w="2410" w:type="dxa"/>
            <w:vMerge/>
          </w:tcPr>
          <w:p w14:paraId="2E6B66D9" w14:textId="77777777" w:rsidR="00CC1941" w:rsidRPr="00BB1AA6" w:rsidRDefault="00CC1941" w:rsidP="000947BF">
            <w:pPr>
              <w:pStyle w:val="TableExpText"/>
              <w:rPr>
                <w:rFonts w:cs="Segoe UI"/>
                <w:color w:val="000000" w:themeColor="text1"/>
                <w:szCs w:val="19"/>
                <w:lang w:val="en-US"/>
              </w:rPr>
            </w:pPr>
          </w:p>
        </w:tc>
      </w:tr>
      <w:tr w:rsidR="006A609A" w:rsidRPr="00BB1AA6" w14:paraId="39C88C03" w14:textId="77777777" w:rsidTr="000947BF">
        <w:tc>
          <w:tcPr>
            <w:tcW w:w="993" w:type="dxa"/>
            <w:vMerge w:val="restart"/>
          </w:tcPr>
          <w:p w14:paraId="0CA43AC1" w14:textId="06D71216" w:rsidR="006A609A" w:rsidRPr="00BB1AA6" w:rsidRDefault="006A609A" w:rsidP="000947BF">
            <w:pPr>
              <w:pStyle w:val="TableExpText"/>
              <w:rPr>
                <w:rFonts w:cs="Segoe UI"/>
                <w:color w:val="000000" w:themeColor="text1"/>
                <w:szCs w:val="19"/>
              </w:rPr>
            </w:pPr>
            <w:r>
              <w:rPr>
                <w:rFonts w:cs="Segoe UI"/>
                <w:color w:val="000000" w:themeColor="text1"/>
                <w:szCs w:val="19"/>
              </w:rPr>
              <w:t>Tranche 3</w:t>
            </w:r>
            <w:r w:rsidR="006F7CAF">
              <w:rPr>
                <w:rFonts w:cs="Segoe UI"/>
                <w:color w:val="000000" w:themeColor="text1"/>
                <w:szCs w:val="19"/>
              </w:rPr>
              <w:t xml:space="preserve"> </w:t>
            </w:r>
            <w:r>
              <w:rPr>
                <w:rFonts w:cs="Segoe UI"/>
                <w:color w:val="000000" w:themeColor="text1"/>
                <w:szCs w:val="19"/>
              </w:rPr>
              <w:t>(2020)</w:t>
            </w:r>
          </w:p>
        </w:tc>
        <w:tc>
          <w:tcPr>
            <w:tcW w:w="3685" w:type="dxa"/>
          </w:tcPr>
          <w:p w14:paraId="136EC380" w14:textId="77777777" w:rsidR="006A609A" w:rsidRPr="00BB1AA6" w:rsidRDefault="006A609A" w:rsidP="000947BF">
            <w:pPr>
              <w:pStyle w:val="TableExpText"/>
              <w:rPr>
                <w:rFonts w:cs="Segoe UI"/>
                <w:color w:val="000000" w:themeColor="text1"/>
                <w:szCs w:val="19"/>
                <w:lang w:val="en-US"/>
              </w:rPr>
            </w:pPr>
            <w:r>
              <w:rPr>
                <w:rFonts w:cs="Segoe UI"/>
                <w:color w:val="000000" w:themeColor="text1"/>
                <w:szCs w:val="19"/>
                <w:lang w:val="en-US"/>
              </w:rPr>
              <w:t>Central Land Council</w:t>
            </w:r>
          </w:p>
        </w:tc>
        <w:tc>
          <w:tcPr>
            <w:tcW w:w="1843" w:type="dxa"/>
            <w:vMerge w:val="restart"/>
          </w:tcPr>
          <w:p w14:paraId="1B4EC09F" w14:textId="77777777" w:rsidR="006A609A" w:rsidRPr="0036670E" w:rsidRDefault="006A609A" w:rsidP="000947BF">
            <w:pPr>
              <w:pStyle w:val="TableExpText"/>
              <w:rPr>
                <w:rFonts w:cs="Segoe UI"/>
                <w:color w:val="000000" w:themeColor="text1"/>
                <w:szCs w:val="19"/>
                <w:lang w:val="en-US"/>
              </w:rPr>
            </w:pPr>
            <w:r>
              <w:rPr>
                <w:rFonts w:cs="Segoe UI"/>
                <w:color w:val="000000" w:themeColor="text1"/>
                <w:szCs w:val="19"/>
                <w:lang w:val="en-US"/>
              </w:rPr>
              <w:t xml:space="preserve">July 2016 – </w:t>
            </w:r>
            <w:r w:rsidRPr="0036670E">
              <w:rPr>
                <w:rFonts w:cs="Segoe UI"/>
                <w:color w:val="000000" w:themeColor="text1"/>
                <w:szCs w:val="19"/>
                <w:lang w:val="en-US"/>
              </w:rPr>
              <w:t>June 2019</w:t>
            </w:r>
          </w:p>
        </w:tc>
        <w:tc>
          <w:tcPr>
            <w:tcW w:w="2410" w:type="dxa"/>
            <w:vMerge w:val="restart"/>
          </w:tcPr>
          <w:p w14:paraId="3740534D" w14:textId="77777777" w:rsidR="006A609A" w:rsidRPr="0036670E" w:rsidRDefault="006A609A" w:rsidP="000947BF">
            <w:pPr>
              <w:pStyle w:val="TableExpText"/>
              <w:rPr>
                <w:rFonts w:cs="Segoe UI"/>
                <w:color w:val="000000" w:themeColor="text1"/>
                <w:szCs w:val="19"/>
                <w:lang w:val="en-US"/>
              </w:rPr>
            </w:pPr>
            <w:r>
              <w:rPr>
                <w:rFonts w:cs="Segoe UI"/>
                <w:color w:val="000000" w:themeColor="text1"/>
                <w:szCs w:val="19"/>
                <w:lang w:val="en-US"/>
              </w:rPr>
              <w:t xml:space="preserve">January 2020 – </w:t>
            </w:r>
            <w:r w:rsidRPr="0036670E">
              <w:rPr>
                <w:rFonts w:cs="Segoe UI"/>
                <w:color w:val="000000" w:themeColor="text1"/>
                <w:szCs w:val="19"/>
                <w:lang w:val="en-US"/>
              </w:rPr>
              <w:t>July 2020</w:t>
            </w:r>
          </w:p>
        </w:tc>
      </w:tr>
      <w:tr w:rsidR="006A609A" w:rsidRPr="00BB1AA6" w14:paraId="51B96612" w14:textId="77777777" w:rsidTr="000947BF">
        <w:tc>
          <w:tcPr>
            <w:tcW w:w="993" w:type="dxa"/>
            <w:vMerge/>
          </w:tcPr>
          <w:p w14:paraId="5DB01D2A" w14:textId="77777777" w:rsidR="006A609A" w:rsidRPr="00BB1AA6" w:rsidRDefault="006A609A" w:rsidP="000947BF">
            <w:pPr>
              <w:spacing w:after="0"/>
              <w:jc w:val="center"/>
              <w:rPr>
                <w:rFonts w:cs="Segoe UI"/>
                <w:color w:val="000000" w:themeColor="text1"/>
                <w:szCs w:val="19"/>
                <w:lang w:eastAsia="en-AU"/>
              </w:rPr>
            </w:pPr>
          </w:p>
        </w:tc>
        <w:tc>
          <w:tcPr>
            <w:tcW w:w="3685" w:type="dxa"/>
          </w:tcPr>
          <w:p w14:paraId="485BB870" w14:textId="77777777" w:rsidR="006A609A" w:rsidRPr="00BB1AA6" w:rsidRDefault="006A609A" w:rsidP="000947BF">
            <w:pPr>
              <w:pStyle w:val="TableExpText"/>
              <w:rPr>
                <w:lang w:val="en-US"/>
              </w:rPr>
            </w:pPr>
            <w:r>
              <w:rPr>
                <w:lang w:val="en-US"/>
              </w:rPr>
              <w:t>Northern Land Council</w:t>
            </w:r>
          </w:p>
        </w:tc>
        <w:tc>
          <w:tcPr>
            <w:tcW w:w="1843" w:type="dxa"/>
            <w:vMerge/>
          </w:tcPr>
          <w:p w14:paraId="01BF74E9" w14:textId="77777777" w:rsidR="006A609A" w:rsidRPr="00BB1AA6" w:rsidRDefault="006A609A" w:rsidP="000947BF">
            <w:pPr>
              <w:spacing w:after="0"/>
              <w:rPr>
                <w:rFonts w:cs="Segoe UI"/>
                <w:color w:val="000000" w:themeColor="text1"/>
                <w:szCs w:val="19"/>
                <w:lang w:val="en-US"/>
              </w:rPr>
            </w:pPr>
          </w:p>
        </w:tc>
        <w:tc>
          <w:tcPr>
            <w:tcW w:w="2410" w:type="dxa"/>
            <w:vMerge/>
          </w:tcPr>
          <w:p w14:paraId="28F4C86A" w14:textId="77777777" w:rsidR="006A609A" w:rsidRPr="00BB1AA6" w:rsidRDefault="006A609A" w:rsidP="000947BF">
            <w:pPr>
              <w:spacing w:after="0"/>
              <w:rPr>
                <w:rFonts w:cs="Segoe UI"/>
                <w:color w:val="000000" w:themeColor="text1"/>
                <w:szCs w:val="19"/>
                <w:lang w:val="en-US"/>
              </w:rPr>
            </w:pPr>
          </w:p>
        </w:tc>
      </w:tr>
      <w:tr w:rsidR="006A609A" w:rsidRPr="00BB1AA6" w14:paraId="3A66172A" w14:textId="77777777" w:rsidTr="000947BF">
        <w:tc>
          <w:tcPr>
            <w:tcW w:w="993" w:type="dxa"/>
            <w:vMerge/>
          </w:tcPr>
          <w:p w14:paraId="14D1F75A" w14:textId="77777777" w:rsidR="006A609A" w:rsidRPr="00BB1AA6" w:rsidRDefault="006A609A" w:rsidP="006A609A">
            <w:pPr>
              <w:spacing w:after="0"/>
              <w:jc w:val="center"/>
              <w:rPr>
                <w:rFonts w:cs="Segoe UI"/>
                <w:color w:val="000000" w:themeColor="text1"/>
                <w:szCs w:val="19"/>
                <w:lang w:eastAsia="en-AU"/>
              </w:rPr>
            </w:pPr>
          </w:p>
        </w:tc>
        <w:tc>
          <w:tcPr>
            <w:tcW w:w="3685" w:type="dxa"/>
          </w:tcPr>
          <w:p w14:paraId="560AFE47" w14:textId="3D74DE40" w:rsidR="006A609A" w:rsidRDefault="006A609A" w:rsidP="006A609A">
            <w:pPr>
              <w:pStyle w:val="TableExpText"/>
              <w:rPr>
                <w:lang w:val="en-US"/>
              </w:rPr>
            </w:pPr>
            <w:r w:rsidRPr="006B728A">
              <w:rPr>
                <w:lang w:val="en-US"/>
              </w:rPr>
              <w:t>Torres Strait Regional Authority</w:t>
            </w:r>
          </w:p>
        </w:tc>
        <w:tc>
          <w:tcPr>
            <w:tcW w:w="1843" w:type="dxa"/>
          </w:tcPr>
          <w:p w14:paraId="7EC9C7AD" w14:textId="477F0CF9" w:rsidR="006A609A" w:rsidRPr="006A609A" w:rsidRDefault="006A609A" w:rsidP="006A609A">
            <w:pPr>
              <w:spacing w:after="0"/>
              <w:rPr>
                <w:rFonts w:eastAsia="Times New Roman" w:cs="Times New Roman"/>
                <w:sz w:val="16"/>
                <w:szCs w:val="24"/>
                <w:lang w:val="en-US" w:eastAsia="en-AU"/>
              </w:rPr>
            </w:pPr>
            <w:r w:rsidRPr="006A609A">
              <w:rPr>
                <w:rFonts w:eastAsia="Times New Roman" w:cs="Times New Roman"/>
                <w:sz w:val="16"/>
                <w:szCs w:val="24"/>
                <w:lang w:val="en-US" w:eastAsia="en-AU"/>
              </w:rPr>
              <w:t>July 2016 – June 2019</w:t>
            </w:r>
          </w:p>
        </w:tc>
        <w:tc>
          <w:tcPr>
            <w:tcW w:w="2410" w:type="dxa"/>
          </w:tcPr>
          <w:p w14:paraId="1DFE288B" w14:textId="7021907C" w:rsidR="006A609A" w:rsidRPr="006A609A" w:rsidRDefault="006A609A" w:rsidP="006A609A">
            <w:pPr>
              <w:spacing w:after="0"/>
              <w:rPr>
                <w:rFonts w:eastAsia="Times New Roman" w:cs="Times New Roman"/>
                <w:sz w:val="16"/>
                <w:szCs w:val="24"/>
                <w:lang w:val="en-US" w:eastAsia="en-AU"/>
              </w:rPr>
            </w:pPr>
            <w:r w:rsidRPr="006A609A">
              <w:rPr>
                <w:rFonts w:eastAsia="Times New Roman" w:cs="Times New Roman"/>
                <w:sz w:val="16"/>
                <w:szCs w:val="24"/>
                <w:lang w:val="en-US" w:eastAsia="en-AU"/>
              </w:rPr>
              <w:t>October 2020 – March 2021</w:t>
            </w:r>
          </w:p>
        </w:tc>
      </w:tr>
    </w:tbl>
    <w:p w14:paraId="74C31F5B" w14:textId="45FB89A8" w:rsidR="00D06FCE" w:rsidRPr="00BB1AA6" w:rsidRDefault="00D06FCE" w:rsidP="00D06FCE">
      <w:pPr>
        <w:pStyle w:val="Caption"/>
        <w:keepNext/>
      </w:pPr>
    </w:p>
    <w:p w14:paraId="4304BE9A" w14:textId="77777777" w:rsidR="00F72654" w:rsidRPr="00F94F37" w:rsidRDefault="00F72654" w:rsidP="00F72654">
      <w:pPr>
        <w:pStyle w:val="xAppendixLevel1"/>
      </w:pPr>
      <w:bookmarkStart w:id="151" w:name="_Ref37158591"/>
      <w:bookmarkStart w:id="152" w:name="_Toc68070982"/>
      <w:r w:rsidRPr="00F94F37">
        <w:lastRenderedPageBreak/>
        <w:t>Stakeholders consulted</w:t>
      </w:r>
      <w:bookmarkEnd w:id="151"/>
      <w:bookmarkEnd w:id="152"/>
    </w:p>
    <w:p w14:paraId="16AE7A35" w14:textId="24E84337" w:rsidR="00F350C4" w:rsidRPr="00B05C3C" w:rsidRDefault="009E45B3" w:rsidP="00F350C4">
      <w:r>
        <w:t xml:space="preserve">The Review consulted with over 45 stakeholders in relation to CYLC’s performance. </w:t>
      </w:r>
      <w:r w:rsidR="00F350C4" w:rsidRPr="00B05C3C">
        <w:t xml:space="preserve">This was directly through interviews, as well as </w:t>
      </w:r>
      <w:r w:rsidR="00F350C4">
        <w:t xml:space="preserve">a qualitative </w:t>
      </w:r>
      <w:r w:rsidR="00F350C4" w:rsidRPr="00B05C3C">
        <w:t>survey conducted as part of the Review.</w:t>
      </w:r>
    </w:p>
    <w:p w14:paraId="2397A86A" w14:textId="77777777" w:rsidR="009E45B3" w:rsidRDefault="009E45B3" w:rsidP="009E45B3">
      <w:r>
        <w:t>Stakeholder groups included:</w:t>
      </w:r>
    </w:p>
    <w:p w14:paraId="0C24B477" w14:textId="77777777" w:rsidR="009E45B3" w:rsidRDefault="009E45B3" w:rsidP="009E45B3">
      <w:pPr>
        <w:pStyle w:val="Bullet"/>
        <w:numPr>
          <w:ilvl w:val="0"/>
          <w:numId w:val="6"/>
        </w:numPr>
      </w:pPr>
      <w:r>
        <w:t>clients who have been represented by CYLC (including members of PBCs)</w:t>
      </w:r>
    </w:p>
    <w:p w14:paraId="772BF76B" w14:textId="77777777" w:rsidR="009E45B3" w:rsidRDefault="009E45B3" w:rsidP="009E45B3">
      <w:pPr>
        <w:pStyle w:val="Bullet"/>
        <w:numPr>
          <w:ilvl w:val="0"/>
          <w:numId w:val="6"/>
        </w:numPr>
      </w:pPr>
      <w:r>
        <w:t>potential clients in CYLC’s RATSIB area / people who have engaged private legal representation to register a claim in CYLC’s RATSIB area</w:t>
      </w:r>
    </w:p>
    <w:p w14:paraId="6CBFBAEE" w14:textId="77777777" w:rsidR="009E45B3" w:rsidRDefault="009E45B3" w:rsidP="009E45B3">
      <w:pPr>
        <w:pStyle w:val="Bullet"/>
        <w:numPr>
          <w:ilvl w:val="0"/>
          <w:numId w:val="6"/>
        </w:numPr>
      </w:pPr>
      <w:r>
        <w:t>persons who have been refused assistance by CYLC</w:t>
      </w:r>
    </w:p>
    <w:p w14:paraId="12732E6E" w14:textId="77777777" w:rsidR="009E45B3" w:rsidRDefault="009E45B3" w:rsidP="009E45B3">
      <w:pPr>
        <w:pStyle w:val="Bullet"/>
        <w:numPr>
          <w:ilvl w:val="0"/>
          <w:numId w:val="6"/>
        </w:numPr>
      </w:pPr>
      <w:r>
        <w:t>the Federal Court of Australia</w:t>
      </w:r>
    </w:p>
    <w:p w14:paraId="67C8F013" w14:textId="3D7D51DA" w:rsidR="009E45B3" w:rsidRDefault="009E45B3" w:rsidP="009E45B3">
      <w:pPr>
        <w:pStyle w:val="Bullet"/>
        <w:numPr>
          <w:ilvl w:val="0"/>
          <w:numId w:val="6"/>
        </w:numPr>
      </w:pPr>
      <w:r>
        <w:t xml:space="preserve">the </w:t>
      </w:r>
      <w:r w:rsidR="0084759D">
        <w:t>National Native Title Tribunal</w:t>
      </w:r>
    </w:p>
    <w:p w14:paraId="22AEF8FF" w14:textId="77777777" w:rsidR="009E45B3" w:rsidRDefault="009E45B3" w:rsidP="009E45B3">
      <w:pPr>
        <w:pStyle w:val="Bullet"/>
        <w:numPr>
          <w:ilvl w:val="0"/>
          <w:numId w:val="6"/>
        </w:numPr>
      </w:pPr>
      <w:r>
        <w:t>representatives of Queensland State Government</w:t>
      </w:r>
    </w:p>
    <w:p w14:paraId="2D931E49" w14:textId="77777777" w:rsidR="009E45B3" w:rsidRDefault="009E45B3" w:rsidP="009E45B3">
      <w:pPr>
        <w:pStyle w:val="Bullet"/>
        <w:numPr>
          <w:ilvl w:val="0"/>
          <w:numId w:val="6"/>
        </w:numPr>
      </w:pPr>
      <w:r>
        <w:t>CYLC contractors, including:</w:t>
      </w:r>
    </w:p>
    <w:p w14:paraId="7FFDB394" w14:textId="77777777" w:rsidR="009E45B3" w:rsidRDefault="009E45B3" w:rsidP="009E45B3">
      <w:pPr>
        <w:pStyle w:val="Bullet"/>
        <w:numPr>
          <w:ilvl w:val="1"/>
          <w:numId w:val="6"/>
        </w:numPr>
      </w:pPr>
      <w:r>
        <w:t>barristers</w:t>
      </w:r>
    </w:p>
    <w:p w14:paraId="42DF2588" w14:textId="77777777" w:rsidR="009E45B3" w:rsidRDefault="009E45B3" w:rsidP="009E45B3">
      <w:pPr>
        <w:pStyle w:val="Bullet"/>
        <w:numPr>
          <w:ilvl w:val="1"/>
          <w:numId w:val="6"/>
        </w:numPr>
      </w:pPr>
      <w:r>
        <w:t>anthropologists</w:t>
      </w:r>
    </w:p>
    <w:p w14:paraId="05AFBA7C" w14:textId="77777777" w:rsidR="009E45B3" w:rsidRDefault="009E45B3" w:rsidP="009E45B3">
      <w:pPr>
        <w:pStyle w:val="Bullet"/>
        <w:numPr>
          <w:ilvl w:val="0"/>
          <w:numId w:val="6"/>
        </w:numPr>
      </w:pPr>
      <w:r>
        <w:t>CYLC Board Directors, and</w:t>
      </w:r>
    </w:p>
    <w:p w14:paraId="4191E5FD" w14:textId="77777777" w:rsidR="009E45B3" w:rsidRDefault="009E45B3" w:rsidP="009E45B3">
      <w:pPr>
        <w:pStyle w:val="Bullet"/>
        <w:numPr>
          <w:ilvl w:val="0"/>
          <w:numId w:val="6"/>
        </w:numPr>
      </w:pPr>
      <w:r>
        <w:t xml:space="preserve">CYLC staff (including staff that no longer work for CYLC). </w:t>
      </w:r>
    </w:p>
    <w:p w14:paraId="41DE663F" w14:textId="77777777" w:rsidR="009E45B3" w:rsidRDefault="009E45B3" w:rsidP="00F72654"/>
    <w:p w14:paraId="0A5E5A0A" w14:textId="2EF87F1D" w:rsidR="002770F2" w:rsidRDefault="002770F2" w:rsidP="00AB0EA2">
      <w:pPr>
        <w:pStyle w:val="xAppendixLevel1"/>
      </w:pPr>
      <w:bookmarkStart w:id="153" w:name="_Ref37158604"/>
      <w:bookmarkStart w:id="154" w:name="_Toc68070983"/>
      <w:r>
        <w:lastRenderedPageBreak/>
        <w:t>Methodology</w:t>
      </w:r>
      <w:bookmarkEnd w:id="153"/>
      <w:bookmarkEnd w:id="154"/>
    </w:p>
    <w:p w14:paraId="6F2F1FED" w14:textId="77777777" w:rsidR="004A597B" w:rsidRDefault="004A597B" w:rsidP="002770F2">
      <w:pPr>
        <w:rPr>
          <w:lang w:eastAsia="en-AU"/>
        </w:rPr>
      </w:pPr>
    </w:p>
    <w:p w14:paraId="4C8FF60D" w14:textId="77777777" w:rsidR="0004136E" w:rsidRDefault="0004136E" w:rsidP="0004136E">
      <w:pPr>
        <w:rPr>
          <w:lang w:eastAsia="en-AU"/>
        </w:rPr>
      </w:pPr>
      <w:bookmarkStart w:id="155" w:name="_Hlk41335268"/>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lang w:eastAsia="en-AU"/>
        </w:rPr>
        <w:t xml:space="preserve">Nous designed a detailed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49DF2132" w14:textId="77777777" w:rsidR="0004136E" w:rsidRDefault="0004136E" w:rsidP="0004136E">
      <w:pPr>
        <w:pStyle w:val="ListParagraph"/>
        <w:numPr>
          <w:ilvl w:val="0"/>
          <w:numId w:val="12"/>
        </w:numPr>
        <w:spacing w:line="360" w:lineRule="auto"/>
        <w:ind w:left="357" w:hanging="357"/>
        <w:rPr>
          <w:lang w:eastAsia="en-AU"/>
        </w:rPr>
      </w:pPr>
      <w:r>
        <w:rPr>
          <w:lang w:eastAsia="en-AU"/>
        </w:rPr>
        <w:t>Develop performance and attribution indicators for each TOR</w:t>
      </w:r>
    </w:p>
    <w:p w14:paraId="10095827" w14:textId="77777777" w:rsidR="0004136E" w:rsidRDefault="0004136E" w:rsidP="0004136E">
      <w:pPr>
        <w:pStyle w:val="ListParagraph"/>
        <w:numPr>
          <w:ilvl w:val="0"/>
          <w:numId w:val="12"/>
        </w:numPr>
        <w:spacing w:line="360" w:lineRule="auto"/>
        <w:ind w:left="357" w:hanging="357"/>
        <w:rPr>
          <w:lang w:eastAsia="en-AU"/>
        </w:rPr>
      </w:pPr>
      <w:r>
        <w:rPr>
          <w:lang w:eastAsia="en-AU"/>
        </w:rPr>
        <w:t>Collect data through desktop research and consultations</w:t>
      </w:r>
    </w:p>
    <w:p w14:paraId="5187939A" w14:textId="77777777" w:rsidR="0004136E" w:rsidRDefault="0004136E" w:rsidP="0004136E">
      <w:pPr>
        <w:pStyle w:val="ListParagraph"/>
        <w:numPr>
          <w:ilvl w:val="0"/>
          <w:numId w:val="12"/>
        </w:numPr>
        <w:spacing w:line="360" w:lineRule="auto"/>
        <w:ind w:left="357" w:hanging="357"/>
        <w:rPr>
          <w:lang w:eastAsia="en-AU"/>
        </w:rPr>
      </w:pPr>
      <w:r>
        <w:rPr>
          <w:lang w:eastAsia="en-AU"/>
        </w:rPr>
        <w:t>Assess efficiency and effectiveness against each TOR</w:t>
      </w:r>
    </w:p>
    <w:p w14:paraId="59366711" w14:textId="77777777" w:rsidR="0004136E" w:rsidRDefault="0004136E" w:rsidP="0004136E">
      <w:pPr>
        <w:pStyle w:val="ListParagraph"/>
        <w:numPr>
          <w:ilvl w:val="0"/>
          <w:numId w:val="12"/>
        </w:numPr>
        <w:spacing w:line="360" w:lineRule="auto"/>
        <w:ind w:left="357" w:hanging="357"/>
        <w:rPr>
          <w:lang w:eastAsia="en-AU"/>
        </w:rPr>
      </w:pPr>
      <w:r>
        <w:rPr>
          <w:lang w:eastAsia="en-AU"/>
        </w:rPr>
        <w:t>Develop individual NTRB-SP Performance Assessment Reports</w:t>
      </w:r>
    </w:p>
    <w:p w14:paraId="171CD524" w14:textId="77777777" w:rsidR="0004136E" w:rsidRDefault="0004136E" w:rsidP="0004136E">
      <w:pPr>
        <w:pStyle w:val="ListParagraph"/>
        <w:numPr>
          <w:ilvl w:val="0"/>
          <w:numId w:val="12"/>
        </w:numPr>
        <w:spacing w:line="360" w:lineRule="auto"/>
        <w:ind w:left="357" w:hanging="357"/>
        <w:rPr>
          <w:lang w:eastAsia="en-AU"/>
        </w:rPr>
      </w:pPr>
      <w:r>
        <w:rPr>
          <w:lang w:eastAsia="en-AU"/>
        </w:rPr>
        <w:t>Review NTRB-SP feedback on Performance Assessment Report</w:t>
      </w:r>
    </w:p>
    <w:p w14:paraId="48297103" w14:textId="77777777" w:rsidR="0004136E" w:rsidRDefault="0004136E" w:rsidP="0004136E">
      <w:pPr>
        <w:pStyle w:val="ListParagraph"/>
        <w:numPr>
          <w:ilvl w:val="0"/>
          <w:numId w:val="12"/>
        </w:numPr>
        <w:ind w:left="357" w:hanging="357"/>
        <w:rPr>
          <w:lang w:eastAsia="en-AU"/>
        </w:rPr>
      </w:pPr>
      <w:r>
        <w:rPr>
          <w:lang w:eastAsia="en-AU"/>
        </w:rPr>
        <w:t>Create NTRB-SP Comparative Performance Report</w:t>
      </w:r>
    </w:p>
    <w:p w14:paraId="78E15CFF" w14:textId="77777777" w:rsidR="0004136E" w:rsidRDefault="0004136E" w:rsidP="0004136E">
      <w:pPr>
        <w:rPr>
          <w:lang w:eastAsia="en-AU"/>
        </w:rPr>
      </w:pPr>
      <w:r>
        <w:rPr>
          <w:lang w:eastAsia="en-AU"/>
        </w:rPr>
        <w:t xml:space="preserve">Qualitative and quantitative performance indicators and attribution factors were developed to assess each TOR. Attribution factors refer to factors outside the control of the NTRB-SP (external factors) that have a significant impact on the efficiency or effectiveness of their native title operations.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t>
      </w:r>
    </w:p>
    <w:p w14:paraId="78B9ABD4" w14:textId="77777777" w:rsidR="0004136E" w:rsidRDefault="0004136E" w:rsidP="0004136E">
      <w:pPr>
        <w:rPr>
          <w:lang w:eastAsia="en-AU"/>
        </w:rPr>
      </w:pPr>
      <w:r>
        <w:rPr>
          <w:lang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0601D456" w14:textId="77777777" w:rsidR="0004136E" w:rsidRDefault="0004136E" w:rsidP="0004136E">
      <w:pPr>
        <w:rPr>
          <w:lang w:eastAsia="en-AU"/>
        </w:rPr>
      </w:pPr>
      <w:r>
        <w:rPr>
          <w:lang w:eastAsia="en-AU"/>
        </w:rPr>
        <w:t>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0F3BA583" w14:textId="77777777" w:rsidR="0004136E" w:rsidRDefault="0004136E" w:rsidP="0004136E">
      <w:pPr>
        <w:rPr>
          <w:lang w:eastAsia="en-AU"/>
        </w:rPr>
      </w:pPr>
      <w:r>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1975637D" w14:textId="5BB1D7EF" w:rsidR="00EB3786" w:rsidRDefault="0004136E" w:rsidP="00EB3786">
      <w:pPr>
        <w:rPr>
          <w:lang w:eastAsia="en-AU"/>
        </w:rPr>
      </w:pPr>
      <w:r>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bookmarkEnd w:id="155"/>
    </w:p>
    <w:p w14:paraId="5CAF79D0" w14:textId="36581F12" w:rsidR="008F4752" w:rsidRPr="00BB1AA6" w:rsidRDefault="00836DF7" w:rsidP="00BB1AA6">
      <w:pPr>
        <w:pStyle w:val="xAppendixLevel1"/>
      </w:pPr>
      <w:bookmarkStart w:id="156" w:name="_Toc503366789"/>
      <w:bookmarkStart w:id="157" w:name="_Toc505259165"/>
      <w:bookmarkStart w:id="158" w:name="_Toc505256232"/>
      <w:bookmarkStart w:id="159" w:name="_Toc505618275"/>
      <w:bookmarkStart w:id="160" w:name="_Hlk36460153"/>
      <w:r>
        <w:lastRenderedPageBreak/>
        <w:t xml:space="preserve">     </w:t>
      </w:r>
      <w:bookmarkStart w:id="161" w:name="_Toc68070984"/>
      <w:r w:rsidR="008F4752" w:rsidRPr="00BB1AA6">
        <w:t>Glossary</w:t>
      </w:r>
      <w:bookmarkEnd w:id="156"/>
      <w:bookmarkEnd w:id="157"/>
      <w:bookmarkEnd w:id="158"/>
      <w:bookmarkEnd w:id="159"/>
      <w:bookmarkEnd w:id="161"/>
    </w:p>
    <w:p w14:paraId="52E0FDD9" w14:textId="5F32CAF9" w:rsidR="008F4752" w:rsidRPr="00BB1AA6" w:rsidRDefault="008F4752" w:rsidP="008F4752">
      <w:pPr>
        <w:rPr>
          <w:lang w:eastAsia="en-AU"/>
        </w:rPr>
      </w:pPr>
      <w:r w:rsidRPr="00BB1AA6">
        <w:t xml:space="preserve">Throughout this document, the following terms have the meaning prescribed in </w:t>
      </w:r>
      <w:r w:rsidRPr="00BB1AA6">
        <w:fldChar w:fldCharType="begin"/>
      </w:r>
      <w:r w:rsidRPr="00BB1AA6">
        <w:instrText xml:space="preserve"> REF _Ref504381411 \h  \* MERGEFORMAT </w:instrText>
      </w:r>
      <w:r w:rsidRPr="00BB1AA6">
        <w:fldChar w:fldCharType="separate"/>
      </w:r>
      <w:r w:rsidR="00A142B7" w:rsidRPr="00BB1AA6">
        <w:t xml:space="preserve">Table </w:t>
      </w:r>
      <w:r w:rsidR="00A142B7">
        <w:t>2</w:t>
      </w:r>
      <w:r w:rsidRPr="00BB1AA6">
        <w:fldChar w:fldCharType="end"/>
      </w:r>
      <w:r w:rsidRPr="00BB1AA6">
        <w:t>.</w:t>
      </w:r>
    </w:p>
    <w:p w14:paraId="1C774D25" w14:textId="1127857F" w:rsidR="008F4752" w:rsidRPr="00BB1AA6" w:rsidRDefault="008F4752" w:rsidP="008F4752">
      <w:pPr>
        <w:pStyle w:val="Caption"/>
        <w:keepNext/>
      </w:pPr>
      <w:bookmarkStart w:id="162" w:name="_Ref504381411"/>
      <w:r w:rsidRPr="00BB1AA6">
        <w:t xml:space="preserve">Table </w:t>
      </w:r>
      <w:r w:rsidR="00477925">
        <w:t>2</w:t>
      </w:r>
      <w:bookmarkEnd w:id="162"/>
      <w:r w:rsidRPr="00BB1AA6">
        <w:t xml:space="preserve"> | Glossary</w:t>
      </w:r>
    </w:p>
    <w:tbl>
      <w:tblPr>
        <w:tblStyle w:val="TableGrid"/>
        <w:tblW w:w="0" w:type="auto"/>
        <w:tblLook w:val="04A0" w:firstRow="1" w:lastRow="0" w:firstColumn="1" w:lastColumn="0" w:noHBand="0" w:noVBand="1"/>
      </w:tblPr>
      <w:tblGrid>
        <w:gridCol w:w="1645"/>
        <w:gridCol w:w="6804"/>
      </w:tblGrid>
      <w:tr w:rsidR="008F4752" w:rsidRPr="00BB1AA6" w14:paraId="2806E0C3" w14:textId="77777777" w:rsidTr="00A94C57">
        <w:trPr>
          <w:cnfStyle w:val="100000000000" w:firstRow="1" w:lastRow="0" w:firstColumn="0" w:lastColumn="0" w:oddVBand="0" w:evenVBand="0" w:oddHBand="0" w:evenHBand="0" w:firstRowFirstColumn="0" w:firstRowLastColumn="0" w:lastRowFirstColumn="0" w:lastRowLastColumn="0"/>
        </w:trPr>
        <w:tc>
          <w:tcPr>
            <w:tcW w:w="1645" w:type="dxa"/>
          </w:tcPr>
          <w:p w14:paraId="27D739B8" w14:textId="77777777" w:rsidR="008F4752" w:rsidRPr="00943E51" w:rsidRDefault="008F4752" w:rsidP="00A94C57">
            <w:pPr>
              <w:rPr>
                <w:rFonts w:ascii="Segoe UI Semibold" w:hAnsi="Segoe UI Semibold" w:cs="Segoe UI Semibold"/>
                <w:b w:val="0"/>
                <w:sz w:val="17"/>
                <w:szCs w:val="17"/>
                <w:lang w:eastAsia="en-AU"/>
              </w:rPr>
            </w:pPr>
            <w:r w:rsidRPr="00943E51">
              <w:rPr>
                <w:rFonts w:ascii="Segoe UI Semibold" w:hAnsi="Segoe UI Semibold" w:cs="Segoe UI Semibold"/>
                <w:b w:val="0"/>
                <w:sz w:val="17"/>
                <w:szCs w:val="17"/>
                <w:lang w:eastAsia="en-AU"/>
              </w:rPr>
              <w:t>Term</w:t>
            </w:r>
          </w:p>
        </w:tc>
        <w:tc>
          <w:tcPr>
            <w:tcW w:w="6804" w:type="dxa"/>
          </w:tcPr>
          <w:p w14:paraId="06CE00F1" w14:textId="77777777" w:rsidR="008F4752" w:rsidRPr="00943E51" w:rsidRDefault="008F4752" w:rsidP="00A94C57">
            <w:pPr>
              <w:rPr>
                <w:rFonts w:ascii="Segoe UI Semibold" w:hAnsi="Segoe UI Semibold" w:cs="Segoe UI Semibold"/>
                <w:b w:val="0"/>
                <w:sz w:val="17"/>
                <w:szCs w:val="17"/>
                <w:lang w:eastAsia="en-AU"/>
              </w:rPr>
            </w:pPr>
            <w:r w:rsidRPr="00943E51">
              <w:rPr>
                <w:rFonts w:ascii="Segoe UI Semibold" w:hAnsi="Segoe UI Semibold" w:cs="Segoe UI Semibold"/>
                <w:b w:val="0"/>
                <w:sz w:val="17"/>
                <w:szCs w:val="17"/>
                <w:lang w:eastAsia="en-AU"/>
              </w:rPr>
              <w:t>Meaning</w:t>
            </w:r>
          </w:p>
        </w:tc>
      </w:tr>
      <w:tr w:rsidR="008F4752" w:rsidRPr="00BB1AA6" w14:paraId="42FB9351" w14:textId="77777777" w:rsidTr="00A94C57">
        <w:tc>
          <w:tcPr>
            <w:tcW w:w="1645" w:type="dxa"/>
          </w:tcPr>
          <w:p w14:paraId="2AE9700F"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Applicant</w:t>
            </w:r>
          </w:p>
        </w:tc>
        <w:tc>
          <w:tcPr>
            <w:tcW w:w="6804" w:type="dxa"/>
          </w:tcPr>
          <w:p w14:paraId="587CB368" w14:textId="77777777"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 xml:space="preserve">Any person or persons who have been </w:t>
            </w:r>
            <w:proofErr w:type="spellStart"/>
            <w:r w:rsidRPr="00943E51">
              <w:rPr>
                <w:rFonts w:cs="Segoe UI"/>
                <w:color w:val="000000" w:themeColor="text1"/>
                <w:sz w:val="17"/>
                <w:szCs w:val="17"/>
                <w:lang w:val="en-US"/>
              </w:rPr>
              <w:t>authorised</w:t>
            </w:r>
            <w:proofErr w:type="spellEnd"/>
            <w:r w:rsidRPr="00943E51">
              <w:rPr>
                <w:rFonts w:cs="Segoe UI"/>
                <w:color w:val="000000" w:themeColor="text1"/>
                <w:sz w:val="17"/>
                <w:szCs w:val="17"/>
                <w:lang w:val="en-US"/>
              </w:rPr>
              <w:t xml:space="preserve"> as the selected representative(s) of a native title claim group in native title or determination proceedings.</w:t>
            </w:r>
          </w:p>
        </w:tc>
      </w:tr>
      <w:tr w:rsidR="008F4752" w:rsidRPr="00BB1AA6" w14:paraId="41FBC25E" w14:textId="77777777" w:rsidTr="00A94C57">
        <w:tc>
          <w:tcPr>
            <w:tcW w:w="1645" w:type="dxa"/>
          </w:tcPr>
          <w:p w14:paraId="484F71E7"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Client</w:t>
            </w:r>
          </w:p>
        </w:tc>
        <w:tc>
          <w:tcPr>
            <w:tcW w:w="6804" w:type="dxa"/>
          </w:tcPr>
          <w:p w14:paraId="2AD17ED7"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Any individual or group being provided assistance by an NTRB-SP (including assistance with claims, research and/or PBC support).</w:t>
            </w:r>
          </w:p>
        </w:tc>
      </w:tr>
      <w:tr w:rsidR="008F4752" w:rsidRPr="00BB1AA6" w14:paraId="7F694900" w14:textId="77777777" w:rsidTr="00A94C57">
        <w:tc>
          <w:tcPr>
            <w:tcW w:w="1645" w:type="dxa"/>
          </w:tcPr>
          <w:p w14:paraId="725C55D4"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Connection evidence</w:t>
            </w:r>
          </w:p>
        </w:tc>
        <w:tc>
          <w:tcPr>
            <w:tcW w:w="6804" w:type="dxa"/>
          </w:tcPr>
          <w:p w14:paraId="5B55A35F" w14:textId="77777777"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8F4752" w:rsidRPr="00BB1AA6" w14:paraId="518DE299" w14:textId="77777777" w:rsidTr="00A94C57">
        <w:tc>
          <w:tcPr>
            <w:tcW w:w="1645" w:type="dxa"/>
          </w:tcPr>
          <w:p w14:paraId="05228EDF" w14:textId="77777777" w:rsidR="008F4752" w:rsidRPr="00943E51" w:rsidRDefault="008F4752" w:rsidP="00A94C57">
            <w:pPr>
              <w:rPr>
                <w:rFonts w:cs="Segoe UI"/>
                <w:color w:val="000000" w:themeColor="text1"/>
                <w:sz w:val="17"/>
                <w:szCs w:val="17"/>
                <w:lang w:eastAsia="en-AU"/>
              </w:rPr>
            </w:pPr>
            <w:r w:rsidRPr="00943E51">
              <w:rPr>
                <w:rFonts w:cs="Segoe UI"/>
                <w:i/>
                <w:color w:val="000000" w:themeColor="text1"/>
                <w:sz w:val="17"/>
                <w:szCs w:val="17"/>
                <w:lang w:val="en-US"/>
              </w:rPr>
              <w:t xml:space="preserve">Corporations (Aboriginal and Torres Strait Islander) Act 2006 </w:t>
            </w:r>
            <w:r w:rsidRPr="00943E51">
              <w:rPr>
                <w:rFonts w:cs="Segoe UI"/>
                <w:color w:val="000000" w:themeColor="text1"/>
                <w:sz w:val="17"/>
                <w:szCs w:val="17"/>
                <w:lang w:val="en-US"/>
              </w:rPr>
              <w:t>(</w:t>
            </w:r>
            <w:proofErr w:type="spellStart"/>
            <w:r w:rsidRPr="00943E51">
              <w:rPr>
                <w:rFonts w:cs="Segoe UI"/>
                <w:color w:val="000000" w:themeColor="text1"/>
                <w:sz w:val="17"/>
                <w:szCs w:val="17"/>
                <w:lang w:val="en-US"/>
              </w:rPr>
              <w:t>Cth</w:t>
            </w:r>
            <w:proofErr w:type="spellEnd"/>
            <w:r w:rsidRPr="00943E51">
              <w:rPr>
                <w:rFonts w:cs="Segoe UI"/>
                <w:color w:val="000000" w:themeColor="text1"/>
                <w:sz w:val="17"/>
                <w:szCs w:val="17"/>
                <w:lang w:val="en-US"/>
              </w:rPr>
              <w:t xml:space="preserve">) (the </w:t>
            </w:r>
            <w:r w:rsidRPr="00943E51">
              <w:rPr>
                <w:rFonts w:cs="Segoe UI"/>
                <w:i/>
                <w:color w:val="000000" w:themeColor="text1"/>
                <w:sz w:val="17"/>
                <w:szCs w:val="17"/>
                <w:lang w:val="en-US"/>
              </w:rPr>
              <w:t>CATSI Act</w:t>
            </w:r>
            <w:r w:rsidRPr="00943E51">
              <w:rPr>
                <w:rFonts w:cs="Segoe UI"/>
                <w:color w:val="000000" w:themeColor="text1"/>
                <w:sz w:val="17"/>
                <w:szCs w:val="17"/>
                <w:lang w:val="en-US"/>
              </w:rPr>
              <w:t>)</w:t>
            </w:r>
          </w:p>
        </w:tc>
        <w:tc>
          <w:tcPr>
            <w:tcW w:w="6804" w:type="dxa"/>
          </w:tcPr>
          <w:p w14:paraId="19CFBCE2" w14:textId="77777777"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 xml:space="preserve">The </w:t>
            </w:r>
            <w:r w:rsidRPr="00943E51">
              <w:rPr>
                <w:rFonts w:cs="Segoe UI"/>
                <w:i/>
                <w:color w:val="000000" w:themeColor="text1"/>
                <w:sz w:val="17"/>
                <w:szCs w:val="17"/>
                <w:lang w:val="en-US"/>
              </w:rPr>
              <w:t xml:space="preserve">Corporations (Aboriginal and Torres Strait Islander) Act 2006 </w:t>
            </w:r>
            <w:r w:rsidRPr="00943E51">
              <w:rPr>
                <w:rFonts w:cs="Segoe UI"/>
                <w:color w:val="000000" w:themeColor="text1"/>
                <w:sz w:val="17"/>
                <w:szCs w:val="17"/>
                <w:lang w:val="en-US"/>
              </w:rPr>
              <w:t>(</w:t>
            </w:r>
            <w:proofErr w:type="spellStart"/>
            <w:r w:rsidRPr="00943E51">
              <w:rPr>
                <w:rFonts w:cs="Segoe UI"/>
                <w:color w:val="000000" w:themeColor="text1"/>
                <w:sz w:val="17"/>
                <w:szCs w:val="17"/>
                <w:lang w:val="en-US"/>
              </w:rPr>
              <w:t>Cth</w:t>
            </w:r>
            <w:proofErr w:type="spellEnd"/>
            <w:r w:rsidRPr="00943E51">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8F4752" w:rsidRPr="00BB1AA6" w14:paraId="31032D14" w14:textId="77777777" w:rsidTr="00A94C57">
        <w:tc>
          <w:tcPr>
            <w:tcW w:w="1645" w:type="dxa"/>
          </w:tcPr>
          <w:p w14:paraId="4B3ADFC6"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Determination</w:t>
            </w:r>
          </w:p>
        </w:tc>
        <w:tc>
          <w:tcPr>
            <w:tcW w:w="6804" w:type="dxa"/>
          </w:tcPr>
          <w:p w14:paraId="2CA780C1" w14:textId="77777777"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A decision by the Federal or High Court of Australia. A determination is made either when parties have reached an agreement after mediation (consent determination) or following a trial process (litigated determination).</w:t>
            </w:r>
          </w:p>
        </w:tc>
      </w:tr>
      <w:tr w:rsidR="008F4752" w:rsidRPr="00BB1AA6" w14:paraId="2B08360D" w14:textId="77777777" w:rsidTr="00A94C57">
        <w:tc>
          <w:tcPr>
            <w:tcW w:w="1645" w:type="dxa"/>
          </w:tcPr>
          <w:p w14:paraId="61E51E3F"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Extinguishment</w:t>
            </w:r>
          </w:p>
        </w:tc>
        <w:tc>
          <w:tcPr>
            <w:tcW w:w="6804" w:type="dxa"/>
          </w:tcPr>
          <w:p w14:paraId="2DC649C1" w14:textId="77777777"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8F4752" w:rsidRPr="00BB1AA6" w14:paraId="46D5E9F2" w14:textId="77777777" w:rsidTr="00A94C57">
        <w:tc>
          <w:tcPr>
            <w:tcW w:w="1645" w:type="dxa"/>
          </w:tcPr>
          <w:p w14:paraId="750E4864"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Future act</w:t>
            </w:r>
          </w:p>
        </w:tc>
        <w:tc>
          <w:tcPr>
            <w:tcW w:w="6804" w:type="dxa"/>
          </w:tcPr>
          <w:p w14:paraId="3FFC22F5" w14:textId="77777777" w:rsidR="008F4752" w:rsidRPr="00943E51" w:rsidRDefault="008F4752" w:rsidP="00A94C57">
            <w:pPr>
              <w:pStyle w:val="Default"/>
              <w:rPr>
                <w:rFonts w:ascii="Segoe UI" w:hAnsi="Segoe UI" w:cs="Segoe UI"/>
                <w:color w:val="000000" w:themeColor="text1"/>
                <w:sz w:val="17"/>
                <w:szCs w:val="17"/>
              </w:rPr>
            </w:pPr>
            <w:r w:rsidRPr="00943E51">
              <w:rPr>
                <w:rFonts w:ascii="Segoe UI" w:hAnsi="Segoe UI"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8F4752" w:rsidRPr="00BB1AA6" w14:paraId="6047CF62" w14:textId="77777777" w:rsidTr="00A94C57">
        <w:tc>
          <w:tcPr>
            <w:tcW w:w="1645" w:type="dxa"/>
          </w:tcPr>
          <w:p w14:paraId="177CB3B2"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Indigenous Land Use Agreement (ILUA)</w:t>
            </w:r>
          </w:p>
        </w:tc>
        <w:tc>
          <w:tcPr>
            <w:tcW w:w="6804" w:type="dxa"/>
          </w:tcPr>
          <w:p w14:paraId="260671C8"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8F4752" w:rsidRPr="00BB1AA6" w14:paraId="7A23795A" w14:textId="77777777" w:rsidTr="00A94C57">
        <w:tc>
          <w:tcPr>
            <w:tcW w:w="1645" w:type="dxa"/>
          </w:tcPr>
          <w:p w14:paraId="3DEBD89D"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National Native Title Tribunal (NNTT)</w:t>
            </w:r>
          </w:p>
        </w:tc>
        <w:tc>
          <w:tcPr>
            <w:tcW w:w="6804" w:type="dxa"/>
          </w:tcPr>
          <w:p w14:paraId="1BE1DC19" w14:textId="77777777"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 xml:space="preserve">An independent statutory body established under s 107 of the </w:t>
            </w:r>
            <w:r w:rsidRPr="005938AF">
              <w:rPr>
                <w:rStyle w:val="Emphasis"/>
                <w:rFonts w:cs="Segoe UI"/>
                <w:i w:val="0"/>
                <w:iCs w:val="0"/>
                <w:color w:val="000000" w:themeColor="text1"/>
                <w:sz w:val="17"/>
                <w:szCs w:val="17"/>
                <w:lang w:val="en-US"/>
              </w:rPr>
              <w:t>NTA</w:t>
            </w:r>
            <w:r w:rsidRPr="00943E51">
              <w:rPr>
                <w:rStyle w:val="Emphasis"/>
                <w:rFonts w:cs="Segoe UI"/>
                <w:color w:val="000000" w:themeColor="text1"/>
                <w:sz w:val="17"/>
                <w:szCs w:val="17"/>
                <w:lang w:val="en-US"/>
              </w:rPr>
              <w:t xml:space="preserve"> </w:t>
            </w:r>
            <w:r w:rsidRPr="00943E51">
              <w:rPr>
                <w:rFonts w:cs="Segoe UI"/>
                <w:color w:val="000000" w:themeColor="text1"/>
                <w:sz w:val="17"/>
                <w:szCs w:val="17"/>
                <w:lang w:val="en-US"/>
              </w:rPr>
              <w:t>to assist people in resolving native title issues by:</w:t>
            </w:r>
          </w:p>
          <w:p w14:paraId="42C5757C" w14:textId="77777777" w:rsidR="008F4752" w:rsidRPr="00943E51" w:rsidRDefault="008F4752" w:rsidP="00C13B3A">
            <w:pPr>
              <w:pStyle w:val="ListParagraph"/>
              <w:numPr>
                <w:ilvl w:val="0"/>
                <w:numId w:val="10"/>
              </w:numPr>
              <w:rPr>
                <w:rFonts w:cs="Segoe UI"/>
                <w:color w:val="000000" w:themeColor="text1"/>
                <w:sz w:val="17"/>
                <w:szCs w:val="17"/>
                <w:lang w:val="en-US"/>
              </w:rPr>
            </w:pPr>
            <w:r w:rsidRPr="00943E51">
              <w:rPr>
                <w:rFonts w:cs="Segoe UI"/>
                <w:color w:val="000000" w:themeColor="text1"/>
                <w:sz w:val="17"/>
                <w:szCs w:val="17"/>
                <w:lang w:val="en-US"/>
              </w:rPr>
              <w:t>mediating between the parties to native title applications at the direction of the Federal Court</w:t>
            </w:r>
          </w:p>
          <w:p w14:paraId="2C38FE0D" w14:textId="77777777" w:rsidR="008F4752" w:rsidRPr="00943E51" w:rsidRDefault="008F4752" w:rsidP="00C13B3A">
            <w:pPr>
              <w:pStyle w:val="ListParagraph"/>
              <w:numPr>
                <w:ilvl w:val="0"/>
                <w:numId w:val="10"/>
              </w:numPr>
              <w:rPr>
                <w:rFonts w:cs="Segoe UI"/>
                <w:color w:val="000000" w:themeColor="text1"/>
                <w:sz w:val="17"/>
                <w:szCs w:val="17"/>
                <w:lang w:val="en-US"/>
              </w:rPr>
            </w:pPr>
            <w:r w:rsidRPr="00943E51">
              <w:rPr>
                <w:rFonts w:cs="Segoe UI"/>
                <w:color w:val="000000" w:themeColor="text1"/>
                <w:sz w:val="17"/>
                <w:szCs w:val="17"/>
                <w:lang w:val="en-US"/>
              </w:rPr>
              <w:t>acting as an arbitrator in situations where the people cannot reach agreement about certain future acts</w:t>
            </w:r>
          </w:p>
          <w:p w14:paraId="2176F0B2" w14:textId="77777777" w:rsidR="008F4752" w:rsidRPr="00943E51" w:rsidRDefault="008F4752" w:rsidP="00C13B3A">
            <w:pPr>
              <w:pStyle w:val="ListParagraph"/>
              <w:numPr>
                <w:ilvl w:val="0"/>
                <w:numId w:val="10"/>
              </w:numPr>
              <w:rPr>
                <w:rFonts w:cs="Segoe UI"/>
                <w:color w:val="000000" w:themeColor="text1"/>
                <w:sz w:val="17"/>
                <w:szCs w:val="17"/>
                <w:lang w:val="en-US"/>
              </w:rPr>
            </w:pPr>
            <w:r w:rsidRPr="00943E51">
              <w:rPr>
                <w:rFonts w:cs="Segoe UI"/>
                <w:color w:val="000000" w:themeColor="text1"/>
                <w:sz w:val="17"/>
                <w:szCs w:val="17"/>
                <w:lang w:val="en-US"/>
              </w:rPr>
              <w:t>helping people to negotiate ILUAs</w:t>
            </w:r>
          </w:p>
          <w:p w14:paraId="6AFCAA70" w14:textId="7E8E0B44"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 xml:space="preserve">The NNTT maintains </w:t>
            </w:r>
            <w:r w:rsidR="00AE6AD7" w:rsidRPr="00943E51">
              <w:rPr>
                <w:rFonts w:cs="Segoe UI"/>
                <w:color w:val="000000" w:themeColor="text1"/>
                <w:sz w:val="17"/>
                <w:szCs w:val="17"/>
                <w:lang w:val="en-US"/>
              </w:rPr>
              <w:t>three registers</w:t>
            </w:r>
            <w:r w:rsidRPr="00943E51">
              <w:rPr>
                <w:rFonts w:cs="Segoe UI"/>
                <w:color w:val="000000" w:themeColor="text1"/>
                <w:sz w:val="17"/>
                <w:szCs w:val="17"/>
                <w:lang w:val="en-US"/>
              </w:rPr>
              <w:t xml:space="preserve"> relating to native title applications, determinations and ILUA</w:t>
            </w:r>
            <w:r w:rsidR="00E67FA0" w:rsidRPr="00943E51">
              <w:rPr>
                <w:rFonts w:cs="Segoe UI"/>
                <w:color w:val="000000" w:themeColor="text1"/>
                <w:sz w:val="17"/>
                <w:szCs w:val="17"/>
                <w:lang w:val="en-US"/>
              </w:rPr>
              <w:t>s</w:t>
            </w:r>
            <w:r w:rsidRPr="00943E51">
              <w:rPr>
                <w:rFonts w:cs="Segoe UI"/>
                <w:color w:val="000000" w:themeColor="text1"/>
                <w:sz w:val="17"/>
                <w:szCs w:val="17"/>
                <w:lang w:val="en-US"/>
              </w:rPr>
              <w:t xml:space="preserve">. It also maintains databases regarding future act matters and geospatial tools.   </w:t>
            </w:r>
          </w:p>
        </w:tc>
      </w:tr>
      <w:tr w:rsidR="008F4752" w:rsidRPr="00BB1AA6" w14:paraId="11D50C5F" w14:textId="77777777" w:rsidTr="00A94C57">
        <w:tc>
          <w:tcPr>
            <w:tcW w:w="1645" w:type="dxa"/>
          </w:tcPr>
          <w:p w14:paraId="3DF37CD6"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lastRenderedPageBreak/>
              <w:t>Native title</w:t>
            </w:r>
          </w:p>
        </w:tc>
        <w:tc>
          <w:tcPr>
            <w:tcW w:w="6804" w:type="dxa"/>
          </w:tcPr>
          <w:p w14:paraId="4109036C" w14:textId="77777777"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 223 </w:t>
            </w:r>
            <w:r w:rsidRPr="005938AF">
              <w:rPr>
                <w:rFonts w:cs="Segoe UI"/>
                <w:iCs/>
                <w:color w:val="000000" w:themeColor="text1"/>
                <w:sz w:val="17"/>
                <w:szCs w:val="17"/>
                <w:lang w:val="en-US"/>
              </w:rPr>
              <w:t>NTA</w:t>
            </w:r>
            <w:r w:rsidRPr="00943E51">
              <w:rPr>
                <w:rFonts w:cs="Segoe UI"/>
                <w:color w:val="000000" w:themeColor="text1"/>
                <w:sz w:val="17"/>
                <w:szCs w:val="17"/>
                <w:lang w:val="en-US"/>
              </w:rPr>
              <w:t>).</w:t>
            </w:r>
          </w:p>
        </w:tc>
      </w:tr>
      <w:tr w:rsidR="008F4752" w:rsidRPr="00BB1AA6" w14:paraId="20A84EA5" w14:textId="77777777" w:rsidTr="00A94C57">
        <w:tc>
          <w:tcPr>
            <w:tcW w:w="1645" w:type="dxa"/>
          </w:tcPr>
          <w:p w14:paraId="35484C96" w14:textId="77777777" w:rsidR="008F4752" w:rsidRPr="00943E51" w:rsidRDefault="008F4752" w:rsidP="00A94C57">
            <w:pPr>
              <w:rPr>
                <w:rFonts w:cs="Segoe UI"/>
                <w:color w:val="000000" w:themeColor="text1"/>
                <w:sz w:val="17"/>
                <w:szCs w:val="17"/>
                <w:lang w:eastAsia="en-AU"/>
              </w:rPr>
            </w:pPr>
            <w:r w:rsidRPr="00943E51">
              <w:rPr>
                <w:rFonts w:cs="Segoe UI"/>
                <w:i/>
                <w:color w:val="000000" w:themeColor="text1"/>
                <w:sz w:val="17"/>
                <w:szCs w:val="17"/>
                <w:lang w:eastAsia="en-AU"/>
              </w:rPr>
              <w:t>Native Title Act 1993</w:t>
            </w:r>
            <w:r w:rsidRPr="00943E51">
              <w:rPr>
                <w:rFonts w:cs="Segoe UI"/>
                <w:color w:val="000000" w:themeColor="text1"/>
                <w:sz w:val="17"/>
                <w:szCs w:val="17"/>
                <w:lang w:eastAsia="en-AU"/>
              </w:rPr>
              <w:t xml:space="preserve"> (</w:t>
            </w:r>
            <w:proofErr w:type="spellStart"/>
            <w:r w:rsidRPr="00943E51">
              <w:rPr>
                <w:rFonts w:cs="Segoe UI"/>
                <w:color w:val="000000" w:themeColor="text1"/>
                <w:sz w:val="17"/>
                <w:szCs w:val="17"/>
                <w:lang w:eastAsia="en-AU"/>
              </w:rPr>
              <w:t>Cth</w:t>
            </w:r>
            <w:proofErr w:type="spellEnd"/>
            <w:r w:rsidRPr="00943E51">
              <w:rPr>
                <w:rFonts w:cs="Segoe UI"/>
                <w:color w:val="000000" w:themeColor="text1"/>
                <w:sz w:val="17"/>
                <w:szCs w:val="17"/>
                <w:lang w:eastAsia="en-AU"/>
              </w:rPr>
              <w:t>) (</w:t>
            </w:r>
            <w:r w:rsidRPr="00943E51">
              <w:rPr>
                <w:rFonts w:cs="Segoe UI"/>
                <w:i/>
                <w:color w:val="000000" w:themeColor="text1"/>
                <w:sz w:val="17"/>
                <w:szCs w:val="17"/>
                <w:lang w:eastAsia="en-AU"/>
              </w:rPr>
              <w:t>NTA</w:t>
            </w:r>
            <w:r w:rsidRPr="00943E51">
              <w:rPr>
                <w:rFonts w:cs="Segoe UI"/>
                <w:color w:val="000000" w:themeColor="text1"/>
                <w:sz w:val="17"/>
                <w:szCs w:val="17"/>
                <w:lang w:eastAsia="en-AU"/>
              </w:rPr>
              <w:t>)</w:t>
            </w:r>
          </w:p>
        </w:tc>
        <w:tc>
          <w:tcPr>
            <w:tcW w:w="6804" w:type="dxa"/>
          </w:tcPr>
          <w:p w14:paraId="31AEF98C" w14:textId="77777777" w:rsidR="008F4752" w:rsidRPr="00943E51" w:rsidRDefault="008F4752" w:rsidP="00A94C57">
            <w:pPr>
              <w:rPr>
                <w:rFonts w:cs="Segoe UI"/>
                <w:i/>
                <w:color w:val="000000" w:themeColor="text1"/>
                <w:sz w:val="17"/>
                <w:szCs w:val="17"/>
                <w:lang w:eastAsia="en-AU"/>
              </w:rPr>
            </w:pPr>
            <w:r w:rsidRPr="00943E51">
              <w:rPr>
                <w:rFonts w:cs="Segoe UI"/>
                <w:sz w:val="17"/>
                <w:szCs w:val="17"/>
                <w:lang w:val="en"/>
              </w:rPr>
              <w:t>The </w:t>
            </w:r>
            <w:r w:rsidRPr="00943E51">
              <w:rPr>
                <w:rFonts w:cs="Segoe UI"/>
                <w:i/>
                <w:sz w:val="17"/>
                <w:szCs w:val="17"/>
                <w:lang w:val="en"/>
              </w:rPr>
              <w:t xml:space="preserve">Native Title Act 1993 </w:t>
            </w:r>
            <w:r w:rsidRPr="00943E51">
              <w:rPr>
                <w:rFonts w:cs="Segoe UI"/>
                <w:sz w:val="17"/>
                <w:szCs w:val="17"/>
                <w:lang w:val="en"/>
              </w:rPr>
              <w:t>(</w:t>
            </w:r>
            <w:proofErr w:type="spellStart"/>
            <w:r w:rsidRPr="00943E51">
              <w:rPr>
                <w:rFonts w:cs="Segoe UI"/>
                <w:sz w:val="17"/>
                <w:szCs w:val="17"/>
                <w:lang w:val="en"/>
              </w:rPr>
              <w:t>Cth</w:t>
            </w:r>
            <w:proofErr w:type="spellEnd"/>
            <w:r w:rsidRPr="00943E51">
              <w:rPr>
                <w:rFonts w:cs="Segoe UI"/>
                <w:sz w:val="17"/>
                <w:szCs w:val="17"/>
                <w:lang w:val="en"/>
              </w:rPr>
              <w:t>)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8F4752" w:rsidRPr="00BB1AA6" w14:paraId="6F40318D" w14:textId="77777777" w:rsidTr="00A94C57">
        <w:tc>
          <w:tcPr>
            <w:tcW w:w="1645" w:type="dxa"/>
          </w:tcPr>
          <w:p w14:paraId="73DDE129"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Native Title Representative Body (NTRB)</w:t>
            </w:r>
          </w:p>
        </w:tc>
        <w:tc>
          <w:tcPr>
            <w:tcW w:w="6804" w:type="dxa"/>
          </w:tcPr>
          <w:p w14:paraId="2213DE34" w14:textId="77777777" w:rsidR="008F4752" w:rsidRPr="00943E51" w:rsidRDefault="008F4752" w:rsidP="00A94C57">
            <w:pPr>
              <w:pStyle w:val="Default"/>
              <w:rPr>
                <w:rFonts w:ascii="Segoe UI" w:hAnsi="Segoe UI" w:cs="Segoe UI"/>
                <w:color w:val="000000" w:themeColor="text1"/>
                <w:sz w:val="17"/>
                <w:szCs w:val="17"/>
              </w:rPr>
            </w:pPr>
            <w:r w:rsidRPr="00943E51">
              <w:rPr>
                <w:rFonts w:ascii="Segoe UI" w:hAnsi="Segoe UI"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943E51">
              <w:rPr>
                <w:rFonts w:ascii="Segoe UI" w:hAnsi="Segoe UI" w:cs="Segoe UI"/>
                <w:i/>
                <w:iCs/>
                <w:color w:val="000000" w:themeColor="text1"/>
                <w:sz w:val="17"/>
                <w:szCs w:val="17"/>
              </w:rPr>
              <w:t>Native Title Act 1993</w:t>
            </w:r>
            <w:r w:rsidRPr="00943E51">
              <w:rPr>
                <w:rFonts w:ascii="Segoe UI" w:hAnsi="Segoe UI" w:cs="Segoe UI"/>
                <w:color w:val="000000" w:themeColor="text1"/>
                <w:sz w:val="17"/>
                <w:szCs w:val="17"/>
              </w:rPr>
              <w:t xml:space="preserve">. </w:t>
            </w:r>
          </w:p>
        </w:tc>
      </w:tr>
      <w:tr w:rsidR="008F4752" w:rsidRPr="00BB1AA6" w14:paraId="44CE44DD" w14:textId="77777777" w:rsidTr="00A94C57">
        <w:tc>
          <w:tcPr>
            <w:tcW w:w="1645" w:type="dxa"/>
          </w:tcPr>
          <w:p w14:paraId="0CB9E510"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Native Title Service Provider (NTSP)</w:t>
            </w:r>
          </w:p>
        </w:tc>
        <w:tc>
          <w:tcPr>
            <w:tcW w:w="6804" w:type="dxa"/>
          </w:tcPr>
          <w:p w14:paraId="52954D96" w14:textId="77777777" w:rsidR="008F4752" w:rsidRPr="00943E51" w:rsidRDefault="008F4752" w:rsidP="00A94C57">
            <w:pPr>
              <w:pStyle w:val="Default"/>
              <w:rPr>
                <w:rFonts w:ascii="Segoe UI" w:hAnsi="Segoe UI" w:cs="Segoe UI"/>
                <w:color w:val="000000" w:themeColor="text1"/>
                <w:sz w:val="17"/>
                <w:szCs w:val="17"/>
              </w:rPr>
            </w:pPr>
            <w:r w:rsidRPr="00943E51">
              <w:rPr>
                <w:rFonts w:ascii="Segoe UI" w:hAnsi="Segoe UI" w:cs="Segoe UI"/>
                <w:color w:val="000000" w:themeColor="text1"/>
                <w:sz w:val="17"/>
                <w:szCs w:val="17"/>
              </w:rPr>
              <w:t>Organisations funded by the Australian Government to perform all or some of the same functions as NTRBs in areas where NTRBs have not been recognised.</w:t>
            </w:r>
          </w:p>
        </w:tc>
      </w:tr>
      <w:tr w:rsidR="008F4752" w:rsidRPr="00BB1AA6" w14:paraId="1EFEBF5A" w14:textId="77777777" w:rsidTr="00A94C57">
        <w:tc>
          <w:tcPr>
            <w:tcW w:w="1645" w:type="dxa"/>
          </w:tcPr>
          <w:p w14:paraId="3834B62A"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Non-claimant application</w:t>
            </w:r>
          </w:p>
        </w:tc>
        <w:tc>
          <w:tcPr>
            <w:tcW w:w="6804" w:type="dxa"/>
          </w:tcPr>
          <w:p w14:paraId="593D47F7" w14:textId="77777777"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An application made by a person, who does not claim to have native title but who seeks a determination that native title does or does not exist.</w:t>
            </w:r>
          </w:p>
        </w:tc>
      </w:tr>
      <w:tr w:rsidR="008F4752" w:rsidRPr="00BB1AA6" w14:paraId="17CDD418" w14:textId="77777777" w:rsidTr="00A94C57">
        <w:tc>
          <w:tcPr>
            <w:tcW w:w="1645" w:type="dxa"/>
          </w:tcPr>
          <w:p w14:paraId="2DFF9366"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Post-determination</w:t>
            </w:r>
          </w:p>
        </w:tc>
        <w:tc>
          <w:tcPr>
            <w:tcW w:w="6804" w:type="dxa"/>
          </w:tcPr>
          <w:p w14:paraId="40C67045"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At a claim level, refers to the period following a determination that native title exists. At an NTRB-SP life cycle level, refers to the period following the resolution of all active claims within a RATSIB area.</w:t>
            </w:r>
          </w:p>
        </w:tc>
      </w:tr>
      <w:tr w:rsidR="008F4752" w:rsidRPr="00BB1AA6" w14:paraId="30264D76" w14:textId="77777777" w:rsidTr="00A94C57">
        <w:tc>
          <w:tcPr>
            <w:tcW w:w="1645" w:type="dxa"/>
          </w:tcPr>
          <w:p w14:paraId="4E4E6C11"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Prescribed Body Corporate (PBC)</w:t>
            </w:r>
          </w:p>
        </w:tc>
        <w:tc>
          <w:tcPr>
            <w:tcW w:w="6804" w:type="dxa"/>
          </w:tcPr>
          <w:p w14:paraId="3194AFBA"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val="en-US"/>
              </w:rPr>
              <w:t xml:space="preserve">A body, established under the </w:t>
            </w:r>
            <w:r w:rsidRPr="00943E51">
              <w:rPr>
                <w:rFonts w:cs="Segoe UI"/>
                <w:i/>
                <w:color w:val="000000" w:themeColor="text1"/>
                <w:sz w:val="17"/>
                <w:szCs w:val="17"/>
                <w:lang w:val="en-US"/>
              </w:rPr>
              <w:t xml:space="preserve">Corporations (Aboriginal and Torres Strait Islander) Act 2006 </w:t>
            </w:r>
            <w:r w:rsidRPr="00943E51">
              <w:rPr>
                <w:rFonts w:cs="Segoe UI"/>
                <w:color w:val="000000" w:themeColor="text1"/>
                <w:sz w:val="17"/>
                <w:szCs w:val="17"/>
                <w:lang w:val="en-US"/>
              </w:rPr>
              <w:t>(</w:t>
            </w:r>
            <w:proofErr w:type="spellStart"/>
            <w:r w:rsidRPr="00943E51">
              <w:rPr>
                <w:rFonts w:cs="Segoe UI"/>
                <w:color w:val="000000" w:themeColor="text1"/>
                <w:sz w:val="17"/>
                <w:szCs w:val="17"/>
                <w:lang w:val="en-US"/>
              </w:rPr>
              <w:t>Cth</w:t>
            </w:r>
            <w:proofErr w:type="spellEnd"/>
            <w:r w:rsidRPr="00943E51">
              <w:rPr>
                <w:rFonts w:cs="Segoe UI"/>
                <w:color w:val="000000" w:themeColor="text1"/>
                <w:sz w:val="17"/>
                <w:szCs w:val="17"/>
                <w:lang w:val="en-US"/>
              </w:rPr>
              <w:t>), nominated by native title holders which will represent them and manage their native title rights and interests once a determination that native title exists has been made. </w:t>
            </w:r>
          </w:p>
        </w:tc>
      </w:tr>
      <w:tr w:rsidR="008F4752" w:rsidRPr="00BB1AA6" w14:paraId="4756247D" w14:textId="77777777" w:rsidTr="00A94C57">
        <w:tc>
          <w:tcPr>
            <w:tcW w:w="1645" w:type="dxa"/>
          </w:tcPr>
          <w:p w14:paraId="48766801"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Registration test</w:t>
            </w:r>
          </w:p>
        </w:tc>
        <w:tc>
          <w:tcPr>
            <w:tcW w:w="6804" w:type="dxa"/>
          </w:tcPr>
          <w:p w14:paraId="0180DACA" w14:textId="77777777" w:rsidR="008F4752" w:rsidRPr="00943E51" w:rsidRDefault="008F4752" w:rsidP="00A94C57">
            <w:pPr>
              <w:rPr>
                <w:rFonts w:cs="Segoe UI"/>
                <w:color w:val="000000" w:themeColor="text1"/>
                <w:sz w:val="17"/>
                <w:szCs w:val="17"/>
                <w:lang w:val="en-US"/>
              </w:rPr>
            </w:pPr>
            <w:r w:rsidRPr="00943E51">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Pr="005938AF">
              <w:rPr>
                <w:rFonts w:cs="Segoe UI"/>
                <w:iCs/>
                <w:color w:val="000000" w:themeColor="text1"/>
                <w:sz w:val="17"/>
                <w:szCs w:val="17"/>
                <w:lang w:val="en-US"/>
              </w:rPr>
              <w:t>NTA</w:t>
            </w:r>
            <w:r w:rsidRPr="00943E51">
              <w:rPr>
                <w:rFonts w:cs="Segoe UI"/>
                <w:color w:val="000000" w:themeColor="text1"/>
                <w:sz w:val="17"/>
                <w:szCs w:val="17"/>
                <w:lang w:val="en-US"/>
              </w:rPr>
              <w:t>.</w:t>
            </w:r>
          </w:p>
        </w:tc>
      </w:tr>
      <w:tr w:rsidR="008F4752" w:rsidRPr="00BB1AA6" w14:paraId="190D1CE1" w14:textId="77777777" w:rsidTr="00A94C57">
        <w:tc>
          <w:tcPr>
            <w:tcW w:w="1645" w:type="dxa"/>
          </w:tcPr>
          <w:p w14:paraId="4EC2B696"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Representative Aboriginal/ Torres Strait Islander Body area (RATSIB area)</w:t>
            </w:r>
          </w:p>
        </w:tc>
        <w:tc>
          <w:tcPr>
            <w:tcW w:w="6804" w:type="dxa"/>
          </w:tcPr>
          <w:p w14:paraId="1EE3825E"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val="en-US"/>
              </w:rPr>
              <w:t xml:space="preserve">The area in which an NTRB-SP performs its functions. </w:t>
            </w:r>
          </w:p>
        </w:tc>
      </w:tr>
      <w:tr w:rsidR="008F4752" w:rsidRPr="00BB1AA6" w14:paraId="5298E20E" w14:textId="77777777" w:rsidTr="00A94C57">
        <w:tc>
          <w:tcPr>
            <w:tcW w:w="1645" w:type="dxa"/>
          </w:tcPr>
          <w:p w14:paraId="27199737"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Terms of Reference (TOR)</w:t>
            </w:r>
          </w:p>
        </w:tc>
        <w:tc>
          <w:tcPr>
            <w:tcW w:w="6804" w:type="dxa"/>
          </w:tcPr>
          <w:p w14:paraId="1BCAEAA8" w14:textId="72A1E8CF"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 xml:space="preserve">Refers to the Terms of Reference provided by </w:t>
            </w:r>
            <w:r w:rsidR="002C3710" w:rsidRPr="00943E51">
              <w:rPr>
                <w:rFonts w:cs="Segoe UI"/>
                <w:color w:val="000000" w:themeColor="text1"/>
                <w:sz w:val="17"/>
                <w:szCs w:val="17"/>
                <w:lang w:eastAsia="en-AU"/>
              </w:rPr>
              <w:t>the NIAA</w:t>
            </w:r>
            <w:r w:rsidRPr="00943E51">
              <w:rPr>
                <w:rFonts w:cs="Segoe UI"/>
                <w:color w:val="000000" w:themeColor="text1"/>
                <w:sz w:val="17"/>
                <w:szCs w:val="17"/>
                <w:lang w:eastAsia="en-AU"/>
              </w:rPr>
              <w:t xml:space="preserve"> which govern the scope of the project. These can be found in Appendix A. </w:t>
            </w:r>
          </w:p>
        </w:tc>
      </w:tr>
      <w:tr w:rsidR="008F4752" w:rsidRPr="00BB1AA6" w14:paraId="197B56ED" w14:textId="77777777" w:rsidTr="00A94C57">
        <w:tc>
          <w:tcPr>
            <w:tcW w:w="1645" w:type="dxa"/>
          </w:tcPr>
          <w:p w14:paraId="4E2527AC"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Traditional Owners (TOs)</w:t>
            </w:r>
          </w:p>
        </w:tc>
        <w:tc>
          <w:tcPr>
            <w:tcW w:w="6804" w:type="dxa"/>
          </w:tcPr>
          <w:p w14:paraId="026FE39B" w14:textId="77777777" w:rsidR="008F4752" w:rsidRPr="00943E51" w:rsidRDefault="008F4752" w:rsidP="00A94C57">
            <w:pPr>
              <w:rPr>
                <w:rFonts w:cs="Segoe UI"/>
                <w:color w:val="000000" w:themeColor="text1"/>
                <w:sz w:val="17"/>
                <w:szCs w:val="17"/>
                <w:lang w:eastAsia="en-AU"/>
              </w:rPr>
            </w:pPr>
            <w:r w:rsidRPr="00943E51">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2BC27C9F" w14:textId="22C792DD" w:rsidR="008F4752" w:rsidRDefault="008F4752" w:rsidP="008F4752">
      <w:pPr>
        <w:rPr>
          <w:lang w:eastAsia="en-AU"/>
        </w:rPr>
      </w:pPr>
    </w:p>
    <w:p w14:paraId="5D59ECD8" w14:textId="5DDFFC06" w:rsidR="00C55898" w:rsidRDefault="00C55898">
      <w:pPr>
        <w:spacing w:after="160" w:line="259" w:lineRule="auto"/>
        <w:rPr>
          <w:lang w:eastAsia="en-AU"/>
        </w:rPr>
      </w:pPr>
      <w:r>
        <w:rPr>
          <w:lang w:eastAsia="en-AU"/>
        </w:rPr>
        <w:br w:type="page"/>
      </w:r>
    </w:p>
    <w:p w14:paraId="5F33A4EB" w14:textId="0C05ABED" w:rsidR="008F4752" w:rsidRDefault="008F4752" w:rsidP="008F4752">
      <w:pPr>
        <w:rPr>
          <w:lang w:eastAsia="en-AU"/>
        </w:rPr>
      </w:pPr>
      <w:r w:rsidRPr="00BB1AA6">
        <w:rPr>
          <w:lang w:eastAsia="en-AU"/>
        </w:rPr>
        <w:lastRenderedPageBreak/>
        <w:t xml:space="preserve">This document refers to the functions of NTRB-SPs outlined under the </w:t>
      </w:r>
      <w:r w:rsidR="00F06BF0" w:rsidRPr="005938AF">
        <w:rPr>
          <w:iCs/>
          <w:lang w:eastAsia="en-AU"/>
        </w:rPr>
        <w:t>NTA</w:t>
      </w:r>
      <w:r w:rsidRPr="00BB1AA6">
        <w:rPr>
          <w:i/>
          <w:lang w:eastAsia="en-AU"/>
        </w:rPr>
        <w:t xml:space="preserve"> </w:t>
      </w:r>
      <w:r w:rsidRPr="00BB1AA6">
        <w:rPr>
          <w:lang w:eastAsia="en-AU"/>
        </w:rPr>
        <w:t xml:space="preserve">and captured in </w:t>
      </w:r>
      <w:r w:rsidR="00A03BFE">
        <w:rPr>
          <w:lang w:eastAsia="en-AU"/>
        </w:rPr>
        <w:t>Table 3</w:t>
      </w:r>
      <w:r w:rsidRPr="00BB1AA6">
        <w:rPr>
          <w:lang w:eastAsia="en-AU"/>
        </w:rPr>
        <w:t>.</w:t>
      </w:r>
    </w:p>
    <w:p w14:paraId="5B4ABE4F" w14:textId="06CEE913" w:rsidR="008F4752" w:rsidRPr="00BB1AA6" w:rsidRDefault="008F4752" w:rsidP="008F4752">
      <w:pPr>
        <w:pStyle w:val="Caption"/>
      </w:pPr>
      <w:bookmarkStart w:id="163" w:name="_Ref504381314"/>
      <w:r w:rsidRPr="00BB1AA6">
        <w:t xml:space="preserve">Table </w:t>
      </w:r>
      <w:r w:rsidR="00A03BFE">
        <w:t>3</w:t>
      </w:r>
      <w:bookmarkEnd w:id="163"/>
      <w:r w:rsidRPr="00BB1AA6">
        <w:t xml:space="preserve"> | NTRB functions under the </w:t>
      </w:r>
      <w:r w:rsidRPr="00BB1AA6">
        <w:rPr>
          <w:i/>
        </w:rPr>
        <w:t>Act</w:t>
      </w:r>
    </w:p>
    <w:tbl>
      <w:tblPr>
        <w:tblStyle w:val="TableGrid"/>
        <w:tblW w:w="0" w:type="auto"/>
        <w:tblLook w:val="04A0" w:firstRow="1" w:lastRow="0" w:firstColumn="1" w:lastColumn="0" w:noHBand="0" w:noVBand="1"/>
      </w:tblPr>
      <w:tblGrid>
        <w:gridCol w:w="1075"/>
        <w:gridCol w:w="2233"/>
        <w:gridCol w:w="5622"/>
      </w:tblGrid>
      <w:tr w:rsidR="008F4752" w:rsidRPr="00A56BA4" w14:paraId="2EF7BE66" w14:textId="77777777" w:rsidTr="00A94C57">
        <w:trPr>
          <w:cnfStyle w:val="100000000000" w:firstRow="1" w:lastRow="0" w:firstColumn="0" w:lastColumn="0" w:oddVBand="0" w:evenVBand="0" w:oddHBand="0" w:evenHBand="0" w:firstRowFirstColumn="0" w:firstRowLastColumn="0" w:lastRowFirstColumn="0" w:lastRowLastColumn="0"/>
        </w:trPr>
        <w:tc>
          <w:tcPr>
            <w:tcW w:w="1078" w:type="dxa"/>
          </w:tcPr>
          <w:p w14:paraId="5D73CEF7" w14:textId="77777777" w:rsidR="008F4752" w:rsidRPr="00A56BA4" w:rsidRDefault="008F4752" w:rsidP="00A94C57">
            <w:pPr>
              <w:rPr>
                <w:sz w:val="17"/>
                <w:szCs w:val="17"/>
                <w:lang w:eastAsia="en-AU"/>
              </w:rPr>
            </w:pPr>
            <w:bookmarkStart w:id="164" w:name="_GoBack" w:colFirst="0" w:colLast="3"/>
            <w:r w:rsidRPr="00A56BA4">
              <w:rPr>
                <w:sz w:val="17"/>
                <w:szCs w:val="17"/>
                <w:lang w:eastAsia="en-AU"/>
              </w:rPr>
              <w:t xml:space="preserve">Reference </w:t>
            </w:r>
          </w:p>
        </w:tc>
        <w:tc>
          <w:tcPr>
            <w:tcW w:w="2268" w:type="dxa"/>
          </w:tcPr>
          <w:p w14:paraId="3ED7B3A5" w14:textId="77777777" w:rsidR="008F4752" w:rsidRPr="00A56BA4" w:rsidRDefault="008F4752" w:rsidP="00A94C57">
            <w:pPr>
              <w:rPr>
                <w:sz w:val="17"/>
                <w:szCs w:val="17"/>
                <w:lang w:eastAsia="en-AU"/>
              </w:rPr>
            </w:pPr>
            <w:r w:rsidRPr="00A56BA4">
              <w:rPr>
                <w:sz w:val="17"/>
                <w:szCs w:val="17"/>
                <w:lang w:eastAsia="en-AU"/>
              </w:rPr>
              <w:t>Function</w:t>
            </w:r>
          </w:p>
        </w:tc>
        <w:tc>
          <w:tcPr>
            <w:tcW w:w="5754" w:type="dxa"/>
          </w:tcPr>
          <w:p w14:paraId="74139994" w14:textId="77777777" w:rsidR="008F4752" w:rsidRPr="00A56BA4" w:rsidRDefault="008F4752" w:rsidP="00A94C57">
            <w:pPr>
              <w:rPr>
                <w:sz w:val="17"/>
                <w:szCs w:val="17"/>
                <w:lang w:eastAsia="en-AU"/>
              </w:rPr>
            </w:pPr>
            <w:r w:rsidRPr="00A56BA4">
              <w:rPr>
                <w:sz w:val="17"/>
                <w:szCs w:val="17"/>
                <w:lang w:eastAsia="en-AU"/>
              </w:rPr>
              <w:t>Detail</w:t>
            </w:r>
          </w:p>
        </w:tc>
      </w:tr>
      <w:tr w:rsidR="008F4752" w:rsidRPr="00A56BA4" w14:paraId="355751CE" w14:textId="77777777" w:rsidTr="00A94C57">
        <w:tc>
          <w:tcPr>
            <w:tcW w:w="1078" w:type="dxa"/>
          </w:tcPr>
          <w:p w14:paraId="71501DCD" w14:textId="77777777" w:rsidR="008F4752" w:rsidRPr="00A56BA4" w:rsidRDefault="008F4752" w:rsidP="00A94C57">
            <w:pPr>
              <w:rPr>
                <w:sz w:val="17"/>
                <w:szCs w:val="17"/>
                <w:lang w:eastAsia="en-AU"/>
              </w:rPr>
            </w:pPr>
            <w:r w:rsidRPr="00A56BA4">
              <w:rPr>
                <w:sz w:val="17"/>
                <w:szCs w:val="17"/>
                <w:lang w:eastAsia="en-AU"/>
              </w:rPr>
              <w:t>s203BB</w:t>
            </w:r>
          </w:p>
        </w:tc>
        <w:tc>
          <w:tcPr>
            <w:tcW w:w="2268" w:type="dxa"/>
          </w:tcPr>
          <w:p w14:paraId="29943E01" w14:textId="77777777" w:rsidR="008F4752" w:rsidRPr="00A56BA4" w:rsidRDefault="008F4752" w:rsidP="00A94C57">
            <w:pPr>
              <w:rPr>
                <w:sz w:val="17"/>
                <w:szCs w:val="17"/>
                <w:lang w:eastAsia="en-AU"/>
              </w:rPr>
            </w:pPr>
            <w:r w:rsidRPr="00A56BA4">
              <w:rPr>
                <w:sz w:val="17"/>
                <w:szCs w:val="17"/>
                <w:lang w:eastAsia="en-AU"/>
              </w:rPr>
              <w:t>Facilitation and assistance</w:t>
            </w:r>
          </w:p>
        </w:tc>
        <w:tc>
          <w:tcPr>
            <w:tcW w:w="5754" w:type="dxa"/>
          </w:tcPr>
          <w:p w14:paraId="371B8202" w14:textId="77777777" w:rsidR="008F4752" w:rsidRPr="00A56BA4" w:rsidRDefault="008F4752" w:rsidP="00A94C57">
            <w:pPr>
              <w:rPr>
                <w:sz w:val="17"/>
                <w:szCs w:val="17"/>
                <w:lang w:eastAsia="en-AU"/>
              </w:rPr>
            </w:pPr>
            <w:r w:rsidRPr="00A56BA4">
              <w:rPr>
                <w:sz w:val="17"/>
                <w:szCs w:val="17"/>
                <w:lang w:eastAsia="en-AU"/>
              </w:rPr>
              <w:t>NTRB-SPs provide assistance to those that hold or may hold native title in relation to native title applications, future acts, agreements, rights of access and other matters.</w:t>
            </w:r>
          </w:p>
        </w:tc>
      </w:tr>
      <w:tr w:rsidR="008F4752" w:rsidRPr="00A56BA4" w14:paraId="2D5EC063" w14:textId="77777777" w:rsidTr="00A94C57">
        <w:tc>
          <w:tcPr>
            <w:tcW w:w="1078" w:type="dxa"/>
          </w:tcPr>
          <w:p w14:paraId="71EA25D2" w14:textId="77777777" w:rsidR="008F4752" w:rsidRPr="00A56BA4" w:rsidRDefault="008F4752" w:rsidP="00A94C57">
            <w:pPr>
              <w:rPr>
                <w:sz w:val="17"/>
                <w:szCs w:val="17"/>
                <w:lang w:eastAsia="en-AU"/>
              </w:rPr>
            </w:pPr>
            <w:r w:rsidRPr="00A56BA4">
              <w:rPr>
                <w:sz w:val="17"/>
                <w:szCs w:val="17"/>
                <w:lang w:eastAsia="en-AU"/>
              </w:rPr>
              <w:t>s203BF</w:t>
            </w:r>
          </w:p>
        </w:tc>
        <w:tc>
          <w:tcPr>
            <w:tcW w:w="2268" w:type="dxa"/>
          </w:tcPr>
          <w:p w14:paraId="3EB9EF43" w14:textId="77777777" w:rsidR="008F4752" w:rsidRPr="00A56BA4" w:rsidRDefault="008F4752" w:rsidP="00A94C57">
            <w:pPr>
              <w:rPr>
                <w:sz w:val="17"/>
                <w:szCs w:val="17"/>
                <w:lang w:eastAsia="en-AU"/>
              </w:rPr>
            </w:pPr>
            <w:r w:rsidRPr="00A56BA4">
              <w:rPr>
                <w:sz w:val="17"/>
                <w:szCs w:val="17"/>
                <w:lang w:eastAsia="en-AU"/>
              </w:rPr>
              <w:t>Certification</w:t>
            </w:r>
          </w:p>
        </w:tc>
        <w:tc>
          <w:tcPr>
            <w:tcW w:w="5754" w:type="dxa"/>
          </w:tcPr>
          <w:p w14:paraId="7E1CAE7C" w14:textId="77777777" w:rsidR="008F4752" w:rsidRPr="00A56BA4" w:rsidRDefault="008F4752" w:rsidP="00A94C57">
            <w:pPr>
              <w:rPr>
                <w:sz w:val="17"/>
                <w:szCs w:val="17"/>
                <w:lang w:eastAsia="en-AU"/>
              </w:rPr>
            </w:pPr>
            <w:r w:rsidRPr="00A56BA4">
              <w:rPr>
                <w:sz w:val="17"/>
                <w:szCs w:val="17"/>
                <w:lang w:eastAsia="en-AU"/>
              </w:rPr>
              <w:t xml:space="preserve">NTRB-SPs certify applications for native title determinations and certify the registration of ILUAs. </w:t>
            </w:r>
          </w:p>
        </w:tc>
      </w:tr>
      <w:tr w:rsidR="008F4752" w:rsidRPr="00A56BA4" w14:paraId="1BFDA1DA" w14:textId="77777777" w:rsidTr="00A94C57">
        <w:tc>
          <w:tcPr>
            <w:tcW w:w="1078" w:type="dxa"/>
          </w:tcPr>
          <w:p w14:paraId="27075AD3" w14:textId="77777777" w:rsidR="008F4752" w:rsidRPr="00A56BA4" w:rsidRDefault="008F4752" w:rsidP="00A94C57">
            <w:pPr>
              <w:rPr>
                <w:sz w:val="17"/>
                <w:szCs w:val="17"/>
                <w:lang w:eastAsia="en-AU"/>
              </w:rPr>
            </w:pPr>
            <w:r w:rsidRPr="00A56BA4">
              <w:rPr>
                <w:sz w:val="17"/>
                <w:szCs w:val="17"/>
                <w:lang w:eastAsia="en-AU"/>
              </w:rPr>
              <w:t>s203BF</w:t>
            </w:r>
          </w:p>
        </w:tc>
        <w:tc>
          <w:tcPr>
            <w:tcW w:w="2268" w:type="dxa"/>
          </w:tcPr>
          <w:p w14:paraId="603427B8" w14:textId="77777777" w:rsidR="008F4752" w:rsidRPr="00A56BA4" w:rsidRDefault="008F4752" w:rsidP="00A94C57">
            <w:pPr>
              <w:rPr>
                <w:sz w:val="17"/>
                <w:szCs w:val="17"/>
                <w:lang w:eastAsia="en-AU"/>
              </w:rPr>
            </w:pPr>
            <w:r w:rsidRPr="00A56BA4">
              <w:rPr>
                <w:sz w:val="17"/>
                <w:szCs w:val="17"/>
                <w:lang w:eastAsia="en-AU"/>
              </w:rPr>
              <w:t>Dispute resolution</w:t>
            </w:r>
          </w:p>
        </w:tc>
        <w:tc>
          <w:tcPr>
            <w:tcW w:w="5754" w:type="dxa"/>
          </w:tcPr>
          <w:p w14:paraId="4BE49A3B" w14:textId="77777777" w:rsidR="008F4752" w:rsidRPr="00A56BA4" w:rsidRDefault="008F4752" w:rsidP="00A94C57">
            <w:pPr>
              <w:rPr>
                <w:sz w:val="17"/>
                <w:szCs w:val="17"/>
                <w:lang w:eastAsia="en-AU"/>
              </w:rPr>
            </w:pPr>
            <w:r w:rsidRPr="00A56BA4">
              <w:rPr>
                <w:sz w:val="17"/>
                <w:szCs w:val="17"/>
                <w:lang w:eastAsia="en-AU"/>
              </w:rPr>
              <w:t xml:space="preserve">NTRB-SPs promote agreement and mediate disputes between native title groups. </w:t>
            </w:r>
          </w:p>
        </w:tc>
      </w:tr>
      <w:tr w:rsidR="008F4752" w:rsidRPr="00A56BA4" w14:paraId="24ED8894" w14:textId="77777777" w:rsidTr="00A94C57">
        <w:tc>
          <w:tcPr>
            <w:tcW w:w="1078" w:type="dxa"/>
          </w:tcPr>
          <w:p w14:paraId="6C36E88E" w14:textId="77777777" w:rsidR="008F4752" w:rsidRPr="00A56BA4" w:rsidRDefault="008F4752" w:rsidP="00A94C57">
            <w:pPr>
              <w:rPr>
                <w:sz w:val="17"/>
                <w:szCs w:val="17"/>
                <w:lang w:eastAsia="en-AU"/>
              </w:rPr>
            </w:pPr>
            <w:r w:rsidRPr="00A56BA4">
              <w:rPr>
                <w:sz w:val="17"/>
                <w:szCs w:val="17"/>
                <w:lang w:eastAsia="en-AU"/>
              </w:rPr>
              <w:t>s203BG</w:t>
            </w:r>
          </w:p>
        </w:tc>
        <w:tc>
          <w:tcPr>
            <w:tcW w:w="2268" w:type="dxa"/>
          </w:tcPr>
          <w:p w14:paraId="118490EA" w14:textId="77777777" w:rsidR="008F4752" w:rsidRPr="00A56BA4" w:rsidRDefault="008F4752" w:rsidP="00A94C57">
            <w:pPr>
              <w:rPr>
                <w:sz w:val="17"/>
                <w:szCs w:val="17"/>
                <w:lang w:eastAsia="en-AU"/>
              </w:rPr>
            </w:pPr>
            <w:r w:rsidRPr="00A56BA4">
              <w:rPr>
                <w:sz w:val="17"/>
                <w:szCs w:val="17"/>
                <w:lang w:eastAsia="en-AU"/>
              </w:rPr>
              <w:t>Notification</w:t>
            </w:r>
          </w:p>
        </w:tc>
        <w:tc>
          <w:tcPr>
            <w:tcW w:w="5754" w:type="dxa"/>
          </w:tcPr>
          <w:p w14:paraId="25B82844" w14:textId="77777777" w:rsidR="008F4752" w:rsidRPr="00A56BA4" w:rsidRDefault="008F4752" w:rsidP="00A94C57">
            <w:pPr>
              <w:rPr>
                <w:sz w:val="17"/>
                <w:szCs w:val="17"/>
                <w:lang w:eastAsia="en-AU"/>
              </w:rPr>
            </w:pPr>
            <w:r w:rsidRPr="00A56BA4">
              <w:rPr>
                <w:sz w:val="17"/>
                <w:szCs w:val="17"/>
                <w:lang w:eastAsia="en-AU"/>
              </w:rPr>
              <w:t xml:space="preserve">NTRB-SPs ensure that people that may hold native title are informed of other claims and of future acts and the time limits for responding to these. </w:t>
            </w:r>
          </w:p>
        </w:tc>
      </w:tr>
      <w:tr w:rsidR="008F4752" w:rsidRPr="00A56BA4" w14:paraId="098EFB2E" w14:textId="77777777" w:rsidTr="00A94C57">
        <w:tc>
          <w:tcPr>
            <w:tcW w:w="1078" w:type="dxa"/>
          </w:tcPr>
          <w:p w14:paraId="479D615E" w14:textId="77777777" w:rsidR="008F4752" w:rsidRPr="00A56BA4" w:rsidRDefault="008F4752" w:rsidP="00A94C57">
            <w:pPr>
              <w:rPr>
                <w:sz w:val="17"/>
                <w:szCs w:val="17"/>
                <w:lang w:eastAsia="en-AU"/>
              </w:rPr>
            </w:pPr>
            <w:r w:rsidRPr="00A56BA4">
              <w:rPr>
                <w:sz w:val="17"/>
                <w:szCs w:val="17"/>
                <w:lang w:eastAsia="en-AU"/>
              </w:rPr>
              <w:t>s203BH</w:t>
            </w:r>
          </w:p>
        </w:tc>
        <w:tc>
          <w:tcPr>
            <w:tcW w:w="2268" w:type="dxa"/>
          </w:tcPr>
          <w:p w14:paraId="7BAD378D" w14:textId="77777777" w:rsidR="008F4752" w:rsidRPr="00A56BA4" w:rsidRDefault="008F4752" w:rsidP="00A94C57">
            <w:pPr>
              <w:rPr>
                <w:sz w:val="17"/>
                <w:szCs w:val="17"/>
                <w:lang w:eastAsia="en-AU"/>
              </w:rPr>
            </w:pPr>
            <w:r w:rsidRPr="00A56BA4">
              <w:rPr>
                <w:sz w:val="17"/>
                <w:szCs w:val="17"/>
                <w:lang w:eastAsia="en-AU"/>
              </w:rPr>
              <w:t>Agreement making</w:t>
            </w:r>
          </w:p>
        </w:tc>
        <w:tc>
          <w:tcPr>
            <w:tcW w:w="5754" w:type="dxa"/>
          </w:tcPr>
          <w:p w14:paraId="3F390559" w14:textId="77777777" w:rsidR="008F4752" w:rsidRPr="00A56BA4" w:rsidRDefault="008F4752" w:rsidP="00A94C57">
            <w:pPr>
              <w:rPr>
                <w:sz w:val="17"/>
                <w:szCs w:val="17"/>
                <w:lang w:eastAsia="en-AU"/>
              </w:rPr>
            </w:pPr>
            <w:r w:rsidRPr="00A56BA4">
              <w:rPr>
                <w:sz w:val="17"/>
                <w:szCs w:val="17"/>
                <w:lang w:eastAsia="en-AU"/>
              </w:rPr>
              <w:t>NTRB-SPs can be a party to ILUAs or other agreements.</w:t>
            </w:r>
          </w:p>
        </w:tc>
      </w:tr>
      <w:tr w:rsidR="008F4752" w:rsidRPr="00A56BA4" w14:paraId="40C9AA1A" w14:textId="77777777" w:rsidTr="00A94C57">
        <w:tc>
          <w:tcPr>
            <w:tcW w:w="1078" w:type="dxa"/>
          </w:tcPr>
          <w:p w14:paraId="4D46D100" w14:textId="77777777" w:rsidR="008F4752" w:rsidRPr="00A56BA4" w:rsidRDefault="008F4752" w:rsidP="00A94C57">
            <w:pPr>
              <w:rPr>
                <w:sz w:val="17"/>
                <w:szCs w:val="17"/>
                <w:lang w:eastAsia="en-AU"/>
              </w:rPr>
            </w:pPr>
            <w:r w:rsidRPr="00A56BA4">
              <w:rPr>
                <w:sz w:val="17"/>
                <w:szCs w:val="17"/>
                <w:lang w:eastAsia="en-AU"/>
              </w:rPr>
              <w:t>s203BI</w:t>
            </w:r>
          </w:p>
        </w:tc>
        <w:tc>
          <w:tcPr>
            <w:tcW w:w="2268" w:type="dxa"/>
          </w:tcPr>
          <w:p w14:paraId="30CCDD2B" w14:textId="77777777" w:rsidR="008F4752" w:rsidRPr="00A56BA4" w:rsidRDefault="008F4752" w:rsidP="00A94C57">
            <w:pPr>
              <w:rPr>
                <w:sz w:val="17"/>
                <w:szCs w:val="17"/>
                <w:lang w:eastAsia="en-AU"/>
              </w:rPr>
            </w:pPr>
            <w:r w:rsidRPr="00A56BA4">
              <w:rPr>
                <w:sz w:val="17"/>
                <w:szCs w:val="17"/>
                <w:lang w:eastAsia="en-AU"/>
              </w:rPr>
              <w:t>Internal review</w:t>
            </w:r>
          </w:p>
        </w:tc>
        <w:tc>
          <w:tcPr>
            <w:tcW w:w="5754" w:type="dxa"/>
          </w:tcPr>
          <w:p w14:paraId="3E4D913D" w14:textId="77777777" w:rsidR="008F4752" w:rsidRPr="00A56BA4" w:rsidRDefault="008F4752" w:rsidP="00A94C57">
            <w:pPr>
              <w:rPr>
                <w:sz w:val="17"/>
                <w:szCs w:val="17"/>
                <w:lang w:eastAsia="en-AU"/>
              </w:rPr>
            </w:pPr>
            <w:r w:rsidRPr="00A56BA4">
              <w:rPr>
                <w:sz w:val="17"/>
                <w:szCs w:val="17"/>
                <w:lang w:eastAsia="en-AU"/>
              </w:rPr>
              <w:t>NTRB-SPs have a process by which native title claimants can seek a review of decisions and actions they have made, and promote access to this process for claimants.</w:t>
            </w:r>
          </w:p>
        </w:tc>
      </w:tr>
      <w:tr w:rsidR="008F4752" w:rsidRPr="00A56BA4" w14:paraId="393BD146" w14:textId="77777777" w:rsidTr="00A94C57">
        <w:tc>
          <w:tcPr>
            <w:tcW w:w="1078" w:type="dxa"/>
          </w:tcPr>
          <w:p w14:paraId="138F723A" w14:textId="77777777" w:rsidR="008F4752" w:rsidRPr="00A56BA4" w:rsidRDefault="008F4752" w:rsidP="00A94C57">
            <w:pPr>
              <w:rPr>
                <w:sz w:val="17"/>
                <w:szCs w:val="17"/>
                <w:lang w:eastAsia="en-AU"/>
              </w:rPr>
            </w:pPr>
            <w:r w:rsidRPr="00A56BA4">
              <w:rPr>
                <w:sz w:val="17"/>
                <w:szCs w:val="17"/>
                <w:lang w:eastAsia="en-AU"/>
              </w:rPr>
              <w:t>s203BJ</w:t>
            </w:r>
          </w:p>
        </w:tc>
        <w:tc>
          <w:tcPr>
            <w:tcW w:w="2268" w:type="dxa"/>
          </w:tcPr>
          <w:p w14:paraId="011DD931" w14:textId="77777777" w:rsidR="008F4752" w:rsidRPr="00A56BA4" w:rsidRDefault="008F4752" w:rsidP="00A94C57">
            <w:pPr>
              <w:rPr>
                <w:sz w:val="17"/>
                <w:szCs w:val="17"/>
                <w:lang w:eastAsia="en-AU"/>
              </w:rPr>
            </w:pPr>
            <w:r w:rsidRPr="00A56BA4">
              <w:rPr>
                <w:sz w:val="17"/>
                <w:szCs w:val="17"/>
                <w:lang w:eastAsia="en-AU"/>
              </w:rPr>
              <w:t>Other functions conferred by the Act or by any other law</w:t>
            </w:r>
          </w:p>
        </w:tc>
        <w:tc>
          <w:tcPr>
            <w:tcW w:w="5754" w:type="dxa"/>
          </w:tcPr>
          <w:p w14:paraId="7121D02A" w14:textId="77777777" w:rsidR="008F4752" w:rsidRPr="00A56BA4" w:rsidRDefault="008F4752" w:rsidP="00A94C57">
            <w:pPr>
              <w:rPr>
                <w:sz w:val="17"/>
                <w:szCs w:val="17"/>
                <w:lang w:eastAsia="en-AU"/>
              </w:rPr>
            </w:pPr>
            <w:r w:rsidRPr="00A56BA4">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bookmarkEnd w:id="164"/>
    </w:tbl>
    <w:p w14:paraId="46D82CBE" w14:textId="77777777" w:rsidR="008F4752" w:rsidRPr="00F142E6" w:rsidRDefault="008F4752" w:rsidP="008F4752">
      <w:pPr>
        <w:rPr>
          <w:lang w:eastAsia="en-AU"/>
        </w:rPr>
      </w:pPr>
    </w:p>
    <w:bookmarkEnd w:id="160"/>
    <w:p w14:paraId="53FAEEFE" w14:textId="77777777" w:rsidR="008F4752" w:rsidRDefault="008F4752" w:rsidP="00EB3786"/>
    <w:sectPr w:rsidR="008F4752" w:rsidSect="006F272E">
      <w:headerReference w:type="default" r:id="rId18"/>
      <w:footerReference w:type="default" r:id="rId19"/>
      <w:headerReference w:type="first" r:id="rId20"/>
      <w:footerReference w:type="first" r:id="rId21"/>
      <w:pgSz w:w="11907" w:h="16839" w:code="9"/>
      <w:pgMar w:top="1418" w:right="1418" w:bottom="1418"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9A4D0" w14:textId="77777777" w:rsidR="00F75BB2" w:rsidRDefault="00F75BB2" w:rsidP="00302076">
      <w:pPr>
        <w:spacing w:after="0"/>
      </w:pPr>
      <w:r>
        <w:separator/>
      </w:r>
    </w:p>
  </w:endnote>
  <w:endnote w:type="continuationSeparator" w:id="0">
    <w:p w14:paraId="24A30D3A" w14:textId="77777777" w:rsidR="00F75BB2" w:rsidRDefault="00F75BB2" w:rsidP="00302076">
      <w:pPr>
        <w:spacing w:after="0"/>
      </w:pPr>
      <w:r>
        <w:continuationSeparator/>
      </w:r>
    </w:p>
  </w:endnote>
  <w:endnote w:type="continuationNotice" w:id="1">
    <w:p w14:paraId="79B8CEDC" w14:textId="77777777" w:rsidR="00F75BB2" w:rsidRDefault="00F75B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B71" w14:textId="088387BC" w:rsidR="000947BF" w:rsidRPr="00FD4AB1" w:rsidRDefault="000947BF" w:rsidP="000A7531">
    <w:pPr>
      <w:pStyle w:val="Footer"/>
      <w:rPr>
        <w:rFonts w:ascii="Segoe UI Semibold" w:hAnsi="Segoe UI Semibold" w:cs="Segoe UI"/>
        <w:b/>
      </w:rPr>
    </w:pPr>
    <w:r>
      <w:rPr>
        <w:color w:val="808080" w:themeColor="background1" w:themeShade="80"/>
        <w:sz w:val="15"/>
        <w:szCs w:val="15"/>
        <w:lang w:eastAsia="en-AU"/>
      </w:rPr>
      <w:t xml:space="preserve">Nous Group | </w:t>
    </w:r>
    <w:sdt>
      <w:sdtPr>
        <w:rPr>
          <w:color w:val="808080" w:themeColor="background1" w:themeShade="80"/>
          <w:sz w:val="15"/>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1814EB">
          <w:rPr>
            <w:color w:val="808080" w:themeColor="background1" w:themeShade="80"/>
            <w:sz w:val="15"/>
            <w:szCs w:val="15"/>
            <w:lang w:eastAsia="en-AU"/>
          </w:rPr>
          <w:t>Review of Performance as a Native Title Service Provider: Cape York Land Council</w:t>
        </w:r>
      </w:sdtContent>
    </w:sdt>
    <w:r>
      <w:rPr>
        <w:color w:val="808080" w:themeColor="background1" w:themeShade="80"/>
        <w:sz w:val="15"/>
        <w:szCs w:val="15"/>
        <w:lang w:eastAsia="en-AU"/>
      </w:rPr>
      <w:t xml:space="preserve"> | </w:t>
    </w:r>
    <w:sdt>
      <w:sdtPr>
        <w:rPr>
          <w:color w:val="808080" w:themeColor="background1" w:themeShade="80"/>
          <w:sz w:val="15"/>
          <w:szCs w:val="15"/>
          <w:lang w:eastAsia="en-AU"/>
        </w:rPr>
        <w:alias w:val="Publish Date"/>
        <w:id w:val="-1921550597"/>
        <w:dataBinding w:prefixMappings="xmlns:ns0='http://schemas.microsoft.com/office/2006/coverPageProps' " w:xpath="/ns0:CoverPageProperties[1]/ns0:PublishDate[1]" w:storeItemID="{55AF091B-3C7A-41E3-B477-F2FDAA23CFDA}"/>
        <w:date w:fullDate="2020-06-01T00:00:00Z">
          <w:dateFormat w:val="d MMMM yyyy"/>
          <w:lid w:val="en-AU"/>
          <w:storeMappedDataAs w:val="dateTime"/>
          <w:calendar w:val="gregorian"/>
        </w:date>
      </w:sdtPr>
      <w:sdtEndPr/>
      <w:sdtContent>
        <w:r>
          <w:rPr>
            <w:color w:val="808080" w:themeColor="background1" w:themeShade="80"/>
            <w:sz w:val="15"/>
            <w:szCs w:val="15"/>
            <w:lang w:eastAsia="en-AU"/>
          </w:rPr>
          <w:t>1 June 2020</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D" w14:textId="572303FC" w:rsidR="000947BF" w:rsidRPr="007A5C67" w:rsidRDefault="000947BF" w:rsidP="00000A9B">
    <w:pPr>
      <w:spacing w:after="0"/>
      <w:rPr>
        <w:color w:val="808080" w:themeColor="background1" w:themeShade="80"/>
        <w:sz w:val="15"/>
        <w:szCs w:val="15"/>
        <w:lang w:eastAsia="en-AU"/>
      </w:rPr>
    </w:pPr>
    <w:r>
      <w:rPr>
        <w:color w:val="808080" w:themeColor="background1" w:themeShade="80"/>
        <w:sz w:val="15"/>
        <w:szCs w:val="15"/>
        <w:lang w:eastAsia="en-AU"/>
      </w:rPr>
      <w:t>Nous Group | Review of NTRB-SPs – CYLC summary report</w:t>
    </w:r>
    <w:r w:rsidR="004D657E">
      <w:rPr>
        <w:color w:val="808080" w:themeColor="background1" w:themeShade="80"/>
        <w:sz w:val="15"/>
        <w:szCs w:val="15"/>
        <w:lang w:eastAsia="en-AU"/>
      </w:rPr>
      <w:t xml:space="preserve"> | March 2021</w:t>
    </w:r>
    <w:r w:rsidRPr="008A55C6">
      <w:rPr>
        <w:color w:val="808080" w:themeColor="background1" w:themeShade="80"/>
        <w:sz w:val="15"/>
        <w:szCs w:val="15"/>
      </w:rPr>
      <w:ptab w:relativeTo="margin" w:alignment="right" w:leader="none"/>
    </w:r>
    <w:r w:rsidRPr="008A55C6">
      <w:rPr>
        <w:color w:val="808080" w:themeColor="background1" w:themeShade="80"/>
      </w:rPr>
      <w:t xml:space="preserve">| </w:t>
    </w:r>
    <w:r w:rsidRPr="008A55C6">
      <w:rPr>
        <w:color w:val="808080" w:themeColor="background1" w:themeShade="80"/>
        <w:sz w:val="16"/>
        <w:szCs w:val="16"/>
      </w:rPr>
      <w:fldChar w:fldCharType="begin"/>
    </w:r>
    <w:r w:rsidRPr="008A55C6">
      <w:rPr>
        <w:color w:val="808080" w:themeColor="background1" w:themeShade="80"/>
        <w:sz w:val="16"/>
        <w:szCs w:val="16"/>
      </w:rPr>
      <w:instrText xml:space="preserve"> PAGE  \* Arabic  \* MERGEFORMAT </w:instrText>
    </w:r>
    <w:r w:rsidRPr="008A55C6">
      <w:rPr>
        <w:color w:val="808080" w:themeColor="background1" w:themeShade="80"/>
        <w:sz w:val="16"/>
        <w:szCs w:val="16"/>
      </w:rPr>
      <w:fldChar w:fldCharType="separate"/>
    </w:r>
    <w:r w:rsidR="00C55B7B">
      <w:rPr>
        <w:noProof/>
        <w:color w:val="808080" w:themeColor="background1" w:themeShade="80"/>
        <w:sz w:val="16"/>
        <w:szCs w:val="16"/>
      </w:rPr>
      <w:t>3</w:t>
    </w:r>
    <w:r w:rsidRPr="008A55C6">
      <w:rPr>
        <w:color w:val="808080" w:themeColor="background1" w:themeShade="80"/>
        <w:sz w:val="16"/>
        <w:szCs w:val="16"/>
      </w:rPr>
      <w:fldChar w:fldCharType="end"/>
    </w:r>
    <w:r w:rsidRPr="008A55C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F" w14:textId="77777777" w:rsidR="000947BF" w:rsidRDefault="000947BF">
    <w:pPr>
      <w:pStyle w:val="Footer"/>
    </w:pPr>
    <w:r w:rsidRPr="000D4195">
      <w:rPr>
        <w:noProof/>
        <w:lang w:eastAsia="en-AU"/>
      </w:rPr>
      <w:drawing>
        <wp:anchor distT="0" distB="0" distL="114300" distR="114300" simplePos="0" relativeHeight="251658241" behindDoc="0" locked="0" layoutInCell="1" allowOverlap="1" wp14:anchorId="162CE2B4" wp14:editId="162CE2B5">
          <wp:simplePos x="0" y="0"/>
          <wp:positionH relativeFrom="page">
            <wp:posOffset>6285964</wp:posOffset>
          </wp:positionH>
          <wp:positionV relativeFrom="page">
            <wp:posOffset>10079665</wp:posOffset>
          </wp:positionV>
          <wp:extent cx="856155" cy="2340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S_ORAN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1930F" w14:textId="77777777" w:rsidR="00F75BB2" w:rsidRDefault="00F75BB2" w:rsidP="00302076">
      <w:pPr>
        <w:spacing w:after="0"/>
      </w:pPr>
      <w:r>
        <w:separator/>
      </w:r>
    </w:p>
  </w:footnote>
  <w:footnote w:type="continuationSeparator" w:id="0">
    <w:p w14:paraId="279702D3" w14:textId="77777777" w:rsidR="00F75BB2" w:rsidRDefault="00F75BB2" w:rsidP="00302076">
      <w:pPr>
        <w:spacing w:after="0"/>
      </w:pPr>
      <w:r>
        <w:continuationSeparator/>
      </w:r>
    </w:p>
  </w:footnote>
  <w:footnote w:type="continuationNotice" w:id="1">
    <w:p w14:paraId="23F3DF84" w14:textId="77777777" w:rsidR="00F75BB2" w:rsidRDefault="00F75BB2">
      <w:pPr>
        <w:spacing w:after="0"/>
      </w:pPr>
    </w:p>
  </w:footnote>
  <w:footnote w:id="2">
    <w:p w14:paraId="65FCBF43" w14:textId="77777777" w:rsidR="001814EB" w:rsidRDefault="001814EB" w:rsidP="001814EB">
      <w:pPr>
        <w:pStyle w:val="FootnoteText"/>
      </w:pPr>
      <w:r w:rsidRPr="00796791">
        <w:rPr>
          <w:rStyle w:val="FootnoteReference"/>
          <w:sz w:val="16"/>
          <w:szCs w:val="16"/>
        </w:rPr>
        <w:footnoteRef/>
      </w:r>
      <w:r w:rsidRPr="00796791">
        <w:rPr>
          <w:sz w:val="16"/>
          <w:szCs w:val="16"/>
        </w:rPr>
        <w:t xml:space="preserve"> Note in</w:t>
      </w:r>
      <w:r>
        <w:rPr>
          <w:sz w:val="16"/>
          <w:szCs w:val="16"/>
        </w:rPr>
        <w:t xml:space="preserve"> July 2019 the National Indigenous Australians Agency (NIAA) was established to lead Indigenous Affairs Policy for the Australian Government. NIAA has commissioned subsequent NTRB-SP Reviews.</w:t>
      </w:r>
    </w:p>
  </w:footnote>
  <w:footnote w:id="3">
    <w:p w14:paraId="57BA1B57" w14:textId="77777777" w:rsidR="000947BF" w:rsidRPr="0069203F" w:rsidRDefault="000947BF" w:rsidP="007937C2">
      <w:pPr>
        <w:pStyle w:val="FootnoteText"/>
        <w:rPr>
          <w:sz w:val="16"/>
          <w:szCs w:val="16"/>
        </w:rPr>
      </w:pPr>
      <w:r w:rsidRPr="0069203F">
        <w:rPr>
          <w:rStyle w:val="FootnoteReference"/>
          <w:sz w:val="16"/>
          <w:szCs w:val="16"/>
        </w:rPr>
        <w:footnoteRef/>
      </w:r>
      <w:r w:rsidRPr="0069203F">
        <w:rPr>
          <w:sz w:val="16"/>
          <w:szCs w:val="16"/>
        </w:rPr>
        <w:t xml:space="preserve"> </w:t>
      </w:r>
      <w:bookmarkStart w:id="29" w:name="_Hlk528056634"/>
      <w:r w:rsidRPr="0069203F">
        <w:rPr>
          <w:sz w:val="16"/>
          <w:szCs w:val="16"/>
        </w:rPr>
        <w:t>Calculated using Australian Bureau of Statistics data for the following SA2 regions – Cape York, Aurukun, Kowanyama-Pormpuraaw and Northern Peninsula.</w:t>
      </w:r>
      <w:bookmarkEnd w:id="29"/>
    </w:p>
  </w:footnote>
  <w:footnote w:id="4">
    <w:p w14:paraId="1F90982D" w14:textId="77777777" w:rsidR="008E2190" w:rsidRPr="00E467A9" w:rsidRDefault="008E2190" w:rsidP="008E2190">
      <w:pPr>
        <w:pStyle w:val="FootnoteText"/>
        <w:rPr>
          <w:sz w:val="16"/>
          <w:szCs w:val="16"/>
        </w:rPr>
      </w:pPr>
      <w:r w:rsidRPr="00E467A9">
        <w:rPr>
          <w:rStyle w:val="FootnoteReference"/>
          <w:sz w:val="16"/>
          <w:szCs w:val="16"/>
        </w:rPr>
        <w:footnoteRef/>
      </w:r>
      <w:r w:rsidRPr="00E467A9">
        <w:rPr>
          <w:sz w:val="16"/>
          <w:szCs w:val="16"/>
        </w:rPr>
        <w:t xml:space="preserve"> CYLC Annual Reports 2015/16, 2016/17</w:t>
      </w:r>
      <w:r>
        <w:rPr>
          <w:sz w:val="16"/>
          <w:szCs w:val="16"/>
        </w:rPr>
        <w:t>, 2017/18.</w:t>
      </w:r>
    </w:p>
  </w:footnote>
  <w:footnote w:id="5">
    <w:p w14:paraId="19B7CB2D" w14:textId="77777777" w:rsidR="000947BF" w:rsidRPr="0069203F" w:rsidRDefault="000947BF" w:rsidP="007937C2">
      <w:pPr>
        <w:pStyle w:val="FootnoteText"/>
        <w:rPr>
          <w:sz w:val="16"/>
          <w:szCs w:val="16"/>
        </w:rPr>
      </w:pPr>
      <w:r w:rsidRPr="0069203F">
        <w:rPr>
          <w:rStyle w:val="FootnoteReference"/>
          <w:sz w:val="16"/>
          <w:szCs w:val="16"/>
        </w:rPr>
        <w:footnoteRef/>
      </w:r>
      <w:r w:rsidRPr="0069203F">
        <w:rPr>
          <w:sz w:val="16"/>
          <w:szCs w:val="16"/>
        </w:rPr>
        <w:t xml:space="preserve"> Native Title attributable funding.</w:t>
      </w:r>
    </w:p>
  </w:footnote>
  <w:footnote w:id="6">
    <w:p w14:paraId="3AFA3D69" w14:textId="77777777" w:rsidR="000947BF" w:rsidRPr="0069203F" w:rsidRDefault="000947BF" w:rsidP="007937C2">
      <w:pPr>
        <w:pStyle w:val="FootnoteText"/>
        <w:rPr>
          <w:sz w:val="16"/>
          <w:szCs w:val="16"/>
        </w:rPr>
      </w:pPr>
      <w:r w:rsidRPr="0069203F">
        <w:rPr>
          <w:rStyle w:val="FootnoteReference"/>
          <w:sz w:val="16"/>
          <w:szCs w:val="16"/>
        </w:rPr>
        <w:footnoteRef/>
      </w:r>
      <w:r w:rsidRPr="0069203F">
        <w:rPr>
          <w:sz w:val="16"/>
          <w:szCs w:val="16"/>
        </w:rPr>
        <w:t xml:space="preserve"> Total revenue received from other sources has been advised by CYLC.</w:t>
      </w:r>
    </w:p>
  </w:footnote>
  <w:footnote w:id="7">
    <w:p w14:paraId="5F1731DA" w14:textId="77777777" w:rsidR="000947BF" w:rsidRPr="0069203F" w:rsidRDefault="000947BF" w:rsidP="007456A4">
      <w:pPr>
        <w:pStyle w:val="FootnoteText"/>
        <w:rPr>
          <w:sz w:val="16"/>
          <w:szCs w:val="16"/>
        </w:rPr>
      </w:pPr>
      <w:r w:rsidRPr="0069203F">
        <w:rPr>
          <w:rStyle w:val="FootnoteReference"/>
          <w:sz w:val="16"/>
          <w:szCs w:val="16"/>
        </w:rPr>
        <w:footnoteRef/>
      </w:r>
      <w:r w:rsidRPr="0069203F">
        <w:rPr>
          <w:sz w:val="16"/>
          <w:szCs w:val="16"/>
        </w:rPr>
        <w:t xml:space="preserve"> Active claims are defined as claims listed with the application status of ‘active’ by the NNTT as of 21 November 2018. </w:t>
      </w:r>
    </w:p>
  </w:footnote>
  <w:footnote w:id="8">
    <w:p w14:paraId="44476E25" w14:textId="77777777" w:rsidR="000947BF" w:rsidRPr="0069203F" w:rsidRDefault="000947BF" w:rsidP="00DF4810">
      <w:pPr>
        <w:pStyle w:val="FootnoteText"/>
        <w:rPr>
          <w:sz w:val="16"/>
          <w:szCs w:val="16"/>
        </w:rPr>
      </w:pPr>
      <w:r w:rsidRPr="0069203F">
        <w:rPr>
          <w:rStyle w:val="FootnoteReference"/>
          <w:sz w:val="16"/>
          <w:szCs w:val="16"/>
        </w:rPr>
        <w:footnoteRef/>
      </w:r>
      <w:r w:rsidRPr="0069203F">
        <w:rPr>
          <w:sz w:val="16"/>
          <w:szCs w:val="16"/>
        </w:rPr>
        <w:t xml:space="preserve"> NNTT map available online from &lt; </w:t>
      </w:r>
      <w:hyperlink r:id="rId1" w:history="1">
        <w:r w:rsidRPr="0069203F">
          <w:rPr>
            <w:rStyle w:val="Hyperlink"/>
            <w:sz w:val="16"/>
            <w:szCs w:val="16"/>
          </w:rPr>
          <w:t>http://www.nntt.gov.au/Maps/QLD_Cape_York_NTDA_Schedule.pdf</w:t>
        </w:r>
      </w:hyperlink>
      <w:r w:rsidRPr="0069203F">
        <w:rPr>
          <w:sz w:val="16"/>
          <w:szCs w:val="16"/>
        </w:rPr>
        <w:t>&gt;. Correct as of 21 November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63AB" w14:textId="77777777" w:rsidR="000947BF" w:rsidRDefault="000947BF">
    <w:pPr>
      <w:pStyle w:val="Header"/>
    </w:pPr>
    <w:r>
      <w:rPr>
        <w:noProof/>
        <w:sz w:val="20"/>
        <w:szCs w:val="20"/>
        <w:lang w:eastAsia="en-AU"/>
      </w:rPr>
      <w:drawing>
        <wp:anchor distT="0" distB="0" distL="114300" distR="114300" simplePos="0" relativeHeight="251658243" behindDoc="0" locked="0" layoutInCell="1" allowOverlap="1" wp14:anchorId="05DF786C" wp14:editId="691B6DE5">
          <wp:simplePos x="0" y="0"/>
          <wp:positionH relativeFrom="page">
            <wp:posOffset>3337</wp:posOffset>
          </wp:positionH>
          <wp:positionV relativeFrom="page">
            <wp:posOffset>-6985</wp:posOffset>
          </wp:positionV>
          <wp:extent cx="7559749" cy="11695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14F" w14:textId="77777777" w:rsidR="000947BF" w:rsidRDefault="000947BF" w:rsidP="000A7531">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C" w14:textId="77777777" w:rsidR="000947BF" w:rsidRPr="00B2563A" w:rsidRDefault="000947BF" w:rsidP="00B2563A">
    <w:pPr>
      <w:pStyle w:val="Header"/>
    </w:pPr>
    <w:r w:rsidRPr="000D4195">
      <w:rPr>
        <w:noProof/>
        <w:lang w:eastAsia="en-AU"/>
      </w:rPr>
      <w:drawing>
        <wp:anchor distT="0" distB="0" distL="114300" distR="114300" simplePos="0" relativeHeight="251658242" behindDoc="0" locked="0" layoutInCell="1" allowOverlap="1" wp14:anchorId="162CE2B0" wp14:editId="162CE2B1">
          <wp:simplePos x="0" y="0"/>
          <wp:positionH relativeFrom="page">
            <wp:posOffset>3810</wp:posOffset>
          </wp:positionH>
          <wp:positionV relativeFrom="page">
            <wp:posOffset>-3620</wp:posOffset>
          </wp:positionV>
          <wp:extent cx="7562850" cy="11430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E" w14:textId="77777777" w:rsidR="000947BF" w:rsidRDefault="000947BF">
    <w:pPr>
      <w:pStyle w:val="Header"/>
    </w:pPr>
    <w:r w:rsidRPr="000D4195">
      <w:rPr>
        <w:noProof/>
        <w:lang w:eastAsia="en-AU"/>
      </w:rPr>
      <w:drawing>
        <wp:anchor distT="0" distB="0" distL="114300" distR="114300" simplePos="0" relativeHeight="251658240" behindDoc="0" locked="0" layoutInCell="1" allowOverlap="1" wp14:anchorId="162CE2B2" wp14:editId="162CE2B3">
          <wp:simplePos x="0" y="0"/>
          <wp:positionH relativeFrom="page">
            <wp:posOffset>-4255</wp:posOffset>
          </wp:positionH>
          <wp:positionV relativeFrom="page">
            <wp:posOffset>635</wp:posOffset>
          </wp:positionV>
          <wp:extent cx="7562850" cy="114300"/>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13625D8B"/>
    <w:multiLevelType w:val="hybridMultilevel"/>
    <w:tmpl w:val="F4482672"/>
    <w:lvl w:ilvl="0" w:tplc="DDC68316">
      <w:start w:val="1"/>
      <w:numFmt w:val="decimal"/>
      <w:pStyle w:val="Listnumbered"/>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B2E4365"/>
    <w:multiLevelType w:val="hybridMultilevel"/>
    <w:tmpl w:val="00A2A170"/>
    <w:lvl w:ilvl="0" w:tplc="C9D8D988">
      <w:start w:val="1"/>
      <w:numFmt w:val="bullet"/>
      <w:pStyle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8D32309"/>
    <w:multiLevelType w:val="hybridMultilevel"/>
    <w:tmpl w:val="B7143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D1413D"/>
    <w:multiLevelType w:val="multilevel"/>
    <w:tmpl w:val="E14812A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5780037A"/>
    <w:multiLevelType w:val="hybridMultilevel"/>
    <w:tmpl w:val="274E39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7074625"/>
    <w:multiLevelType w:val="hybridMultilevel"/>
    <w:tmpl w:val="5330B676"/>
    <w:lvl w:ilvl="0" w:tplc="BF6AEE8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B7218E"/>
    <w:multiLevelType w:val="hybridMultilevel"/>
    <w:tmpl w:val="9C061010"/>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0"/>
  </w:num>
  <w:num w:numId="5">
    <w:abstractNumId w:val="5"/>
  </w:num>
  <w:num w:numId="6">
    <w:abstractNumId w:val="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lvlOverride w:ilvl="0">
      <w:startOverride w:val="1"/>
    </w:lvlOverride>
  </w:num>
  <w:num w:numId="10">
    <w:abstractNumId w:val="7"/>
  </w:num>
  <w:num w:numId="11">
    <w:abstractNumId w:val="6"/>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rKwtLAwsjA0NDZT0lEKTi0uzszPAykwrAUAiSbytywAAAA="/>
  </w:docVars>
  <w:rsids>
    <w:rsidRoot w:val="007A76D0"/>
    <w:rsid w:val="000001EB"/>
    <w:rsid w:val="0000085F"/>
    <w:rsid w:val="00000A9B"/>
    <w:rsid w:val="00002727"/>
    <w:rsid w:val="00002C94"/>
    <w:rsid w:val="000032DC"/>
    <w:rsid w:val="00004A8F"/>
    <w:rsid w:val="00004DAE"/>
    <w:rsid w:val="000051CE"/>
    <w:rsid w:val="00005E07"/>
    <w:rsid w:val="00005E13"/>
    <w:rsid w:val="0000734B"/>
    <w:rsid w:val="00007710"/>
    <w:rsid w:val="00007D42"/>
    <w:rsid w:val="00007ED1"/>
    <w:rsid w:val="00013097"/>
    <w:rsid w:val="00014DF0"/>
    <w:rsid w:val="00015658"/>
    <w:rsid w:val="0001589A"/>
    <w:rsid w:val="00017DF5"/>
    <w:rsid w:val="00017E30"/>
    <w:rsid w:val="0002010C"/>
    <w:rsid w:val="00024163"/>
    <w:rsid w:val="00024324"/>
    <w:rsid w:val="00027F13"/>
    <w:rsid w:val="00030B3D"/>
    <w:rsid w:val="000318EA"/>
    <w:rsid w:val="00033603"/>
    <w:rsid w:val="000337F9"/>
    <w:rsid w:val="00034486"/>
    <w:rsid w:val="000354E7"/>
    <w:rsid w:val="00040629"/>
    <w:rsid w:val="00040D2B"/>
    <w:rsid w:val="0004136E"/>
    <w:rsid w:val="000438DD"/>
    <w:rsid w:val="00043FEB"/>
    <w:rsid w:val="00044114"/>
    <w:rsid w:val="000443FA"/>
    <w:rsid w:val="00044653"/>
    <w:rsid w:val="00044DA0"/>
    <w:rsid w:val="00045290"/>
    <w:rsid w:val="00045B96"/>
    <w:rsid w:val="00047A54"/>
    <w:rsid w:val="00047BDF"/>
    <w:rsid w:val="00047D19"/>
    <w:rsid w:val="00047D2B"/>
    <w:rsid w:val="0005212F"/>
    <w:rsid w:val="00052805"/>
    <w:rsid w:val="00052DAA"/>
    <w:rsid w:val="00053F85"/>
    <w:rsid w:val="00054B9E"/>
    <w:rsid w:val="00054BB2"/>
    <w:rsid w:val="000567C1"/>
    <w:rsid w:val="00056B67"/>
    <w:rsid w:val="0005789D"/>
    <w:rsid w:val="00057E8D"/>
    <w:rsid w:val="0006048B"/>
    <w:rsid w:val="0006164C"/>
    <w:rsid w:val="000622AD"/>
    <w:rsid w:val="00063399"/>
    <w:rsid w:val="00064223"/>
    <w:rsid w:val="00064BB7"/>
    <w:rsid w:val="00065939"/>
    <w:rsid w:val="00067145"/>
    <w:rsid w:val="00067E21"/>
    <w:rsid w:val="00067FC8"/>
    <w:rsid w:val="0007063F"/>
    <w:rsid w:val="00072D25"/>
    <w:rsid w:val="000748A2"/>
    <w:rsid w:val="00074D81"/>
    <w:rsid w:val="00074DC7"/>
    <w:rsid w:val="0008372D"/>
    <w:rsid w:val="00083992"/>
    <w:rsid w:val="00083A9E"/>
    <w:rsid w:val="000841F4"/>
    <w:rsid w:val="000850B3"/>
    <w:rsid w:val="000856E3"/>
    <w:rsid w:val="00085834"/>
    <w:rsid w:val="000862FB"/>
    <w:rsid w:val="00087874"/>
    <w:rsid w:val="0009188F"/>
    <w:rsid w:val="00091A80"/>
    <w:rsid w:val="00093378"/>
    <w:rsid w:val="00093F96"/>
    <w:rsid w:val="000947BF"/>
    <w:rsid w:val="00095D0D"/>
    <w:rsid w:val="00096AFA"/>
    <w:rsid w:val="00096C5F"/>
    <w:rsid w:val="00096EF0"/>
    <w:rsid w:val="000979F5"/>
    <w:rsid w:val="00097C4D"/>
    <w:rsid w:val="00097F2C"/>
    <w:rsid w:val="000A0883"/>
    <w:rsid w:val="000A0D3C"/>
    <w:rsid w:val="000A0D6B"/>
    <w:rsid w:val="000A13C3"/>
    <w:rsid w:val="000A1F02"/>
    <w:rsid w:val="000A239B"/>
    <w:rsid w:val="000A2F1B"/>
    <w:rsid w:val="000A6A29"/>
    <w:rsid w:val="000A6B36"/>
    <w:rsid w:val="000A7531"/>
    <w:rsid w:val="000B1534"/>
    <w:rsid w:val="000B3E04"/>
    <w:rsid w:val="000B4528"/>
    <w:rsid w:val="000B54F3"/>
    <w:rsid w:val="000B6DF8"/>
    <w:rsid w:val="000B720D"/>
    <w:rsid w:val="000B754F"/>
    <w:rsid w:val="000B7985"/>
    <w:rsid w:val="000B7AA3"/>
    <w:rsid w:val="000C0472"/>
    <w:rsid w:val="000C1CEF"/>
    <w:rsid w:val="000C31F2"/>
    <w:rsid w:val="000C34BB"/>
    <w:rsid w:val="000C3BA5"/>
    <w:rsid w:val="000C3D88"/>
    <w:rsid w:val="000C459D"/>
    <w:rsid w:val="000C7926"/>
    <w:rsid w:val="000D01AD"/>
    <w:rsid w:val="000D04FD"/>
    <w:rsid w:val="000D0DA3"/>
    <w:rsid w:val="000D1D07"/>
    <w:rsid w:val="000D3203"/>
    <w:rsid w:val="000D4195"/>
    <w:rsid w:val="000D4216"/>
    <w:rsid w:val="000D4B5E"/>
    <w:rsid w:val="000D5CE3"/>
    <w:rsid w:val="000D64CD"/>
    <w:rsid w:val="000D744F"/>
    <w:rsid w:val="000D7987"/>
    <w:rsid w:val="000E0D33"/>
    <w:rsid w:val="000E325F"/>
    <w:rsid w:val="000E5751"/>
    <w:rsid w:val="000E656F"/>
    <w:rsid w:val="000E6705"/>
    <w:rsid w:val="000E7F4D"/>
    <w:rsid w:val="000F0338"/>
    <w:rsid w:val="000F1763"/>
    <w:rsid w:val="000F21C9"/>
    <w:rsid w:val="000F2C6B"/>
    <w:rsid w:val="000F38D0"/>
    <w:rsid w:val="000F4294"/>
    <w:rsid w:val="000F4A27"/>
    <w:rsid w:val="000F6D04"/>
    <w:rsid w:val="000F6ED7"/>
    <w:rsid w:val="000F7B48"/>
    <w:rsid w:val="000F7DF2"/>
    <w:rsid w:val="000F7F2F"/>
    <w:rsid w:val="00101343"/>
    <w:rsid w:val="00101C45"/>
    <w:rsid w:val="00101CE6"/>
    <w:rsid w:val="001028F8"/>
    <w:rsid w:val="00102B5D"/>
    <w:rsid w:val="0010462B"/>
    <w:rsid w:val="00104822"/>
    <w:rsid w:val="00104C3A"/>
    <w:rsid w:val="001069F9"/>
    <w:rsid w:val="00107587"/>
    <w:rsid w:val="00110848"/>
    <w:rsid w:val="001111D5"/>
    <w:rsid w:val="001124FA"/>
    <w:rsid w:val="001129C9"/>
    <w:rsid w:val="00112F98"/>
    <w:rsid w:val="00112FD2"/>
    <w:rsid w:val="00113188"/>
    <w:rsid w:val="0011406B"/>
    <w:rsid w:val="0011553E"/>
    <w:rsid w:val="001157CD"/>
    <w:rsid w:val="0011585E"/>
    <w:rsid w:val="00116182"/>
    <w:rsid w:val="0011718E"/>
    <w:rsid w:val="00117855"/>
    <w:rsid w:val="00120C51"/>
    <w:rsid w:val="00121CA1"/>
    <w:rsid w:val="001221EF"/>
    <w:rsid w:val="0012285B"/>
    <w:rsid w:val="00122A88"/>
    <w:rsid w:val="001242E7"/>
    <w:rsid w:val="00124C53"/>
    <w:rsid w:val="00125AE9"/>
    <w:rsid w:val="00126688"/>
    <w:rsid w:val="0013091F"/>
    <w:rsid w:val="00131A1F"/>
    <w:rsid w:val="00131FFA"/>
    <w:rsid w:val="00132C79"/>
    <w:rsid w:val="00135B2C"/>
    <w:rsid w:val="00135ED7"/>
    <w:rsid w:val="00137279"/>
    <w:rsid w:val="00140A6C"/>
    <w:rsid w:val="001413E6"/>
    <w:rsid w:val="00141995"/>
    <w:rsid w:val="0014203C"/>
    <w:rsid w:val="001427C1"/>
    <w:rsid w:val="00142F78"/>
    <w:rsid w:val="00143CBA"/>
    <w:rsid w:val="00144001"/>
    <w:rsid w:val="0014429D"/>
    <w:rsid w:val="00145516"/>
    <w:rsid w:val="00147322"/>
    <w:rsid w:val="00151249"/>
    <w:rsid w:val="00151988"/>
    <w:rsid w:val="001523D7"/>
    <w:rsid w:val="00152B89"/>
    <w:rsid w:val="00152FF3"/>
    <w:rsid w:val="00154BDF"/>
    <w:rsid w:val="001568C5"/>
    <w:rsid w:val="00157603"/>
    <w:rsid w:val="001600C1"/>
    <w:rsid w:val="00160955"/>
    <w:rsid w:val="00160A3F"/>
    <w:rsid w:val="00162F23"/>
    <w:rsid w:val="001634A5"/>
    <w:rsid w:val="0016356D"/>
    <w:rsid w:val="00165D5C"/>
    <w:rsid w:val="00165FFA"/>
    <w:rsid w:val="00166CD5"/>
    <w:rsid w:val="0016703D"/>
    <w:rsid w:val="00167672"/>
    <w:rsid w:val="00171042"/>
    <w:rsid w:val="00171F62"/>
    <w:rsid w:val="00171F80"/>
    <w:rsid w:val="001737E1"/>
    <w:rsid w:val="0017418C"/>
    <w:rsid w:val="00174E49"/>
    <w:rsid w:val="0017752B"/>
    <w:rsid w:val="001809F4"/>
    <w:rsid w:val="00180AB8"/>
    <w:rsid w:val="00180D9A"/>
    <w:rsid w:val="001814EB"/>
    <w:rsid w:val="001819A2"/>
    <w:rsid w:val="00181F59"/>
    <w:rsid w:val="0018273B"/>
    <w:rsid w:val="001831B4"/>
    <w:rsid w:val="001835E7"/>
    <w:rsid w:val="0018360A"/>
    <w:rsid w:val="001838BC"/>
    <w:rsid w:val="00183B36"/>
    <w:rsid w:val="00184755"/>
    <w:rsid w:val="00185E0F"/>
    <w:rsid w:val="0018662E"/>
    <w:rsid w:val="00186C82"/>
    <w:rsid w:val="00187727"/>
    <w:rsid w:val="00187B26"/>
    <w:rsid w:val="00191526"/>
    <w:rsid w:val="00192859"/>
    <w:rsid w:val="00192F9A"/>
    <w:rsid w:val="00193435"/>
    <w:rsid w:val="001942B3"/>
    <w:rsid w:val="001946F0"/>
    <w:rsid w:val="001959FB"/>
    <w:rsid w:val="00196E9A"/>
    <w:rsid w:val="00197211"/>
    <w:rsid w:val="001A1C5B"/>
    <w:rsid w:val="001A1ED3"/>
    <w:rsid w:val="001A28C6"/>
    <w:rsid w:val="001A2AC5"/>
    <w:rsid w:val="001A3EDE"/>
    <w:rsid w:val="001A4083"/>
    <w:rsid w:val="001A58E6"/>
    <w:rsid w:val="001A5B49"/>
    <w:rsid w:val="001A7C76"/>
    <w:rsid w:val="001A7EA7"/>
    <w:rsid w:val="001B0795"/>
    <w:rsid w:val="001B18D6"/>
    <w:rsid w:val="001B21E2"/>
    <w:rsid w:val="001B2391"/>
    <w:rsid w:val="001B2EB8"/>
    <w:rsid w:val="001B31E9"/>
    <w:rsid w:val="001B44DE"/>
    <w:rsid w:val="001B4B46"/>
    <w:rsid w:val="001B4D27"/>
    <w:rsid w:val="001B7431"/>
    <w:rsid w:val="001C1921"/>
    <w:rsid w:val="001C35F2"/>
    <w:rsid w:val="001C409E"/>
    <w:rsid w:val="001C42CF"/>
    <w:rsid w:val="001C4669"/>
    <w:rsid w:val="001C46FD"/>
    <w:rsid w:val="001C533D"/>
    <w:rsid w:val="001C66F6"/>
    <w:rsid w:val="001D0BAC"/>
    <w:rsid w:val="001D14D4"/>
    <w:rsid w:val="001D1A57"/>
    <w:rsid w:val="001D2806"/>
    <w:rsid w:val="001D290F"/>
    <w:rsid w:val="001D2C88"/>
    <w:rsid w:val="001D461F"/>
    <w:rsid w:val="001D4846"/>
    <w:rsid w:val="001D561B"/>
    <w:rsid w:val="001D5C32"/>
    <w:rsid w:val="001D6A88"/>
    <w:rsid w:val="001E0867"/>
    <w:rsid w:val="001E1E39"/>
    <w:rsid w:val="001E20F1"/>
    <w:rsid w:val="001E3397"/>
    <w:rsid w:val="001E4136"/>
    <w:rsid w:val="001E4DA1"/>
    <w:rsid w:val="001E6D9E"/>
    <w:rsid w:val="001F04B8"/>
    <w:rsid w:val="001F20AA"/>
    <w:rsid w:val="001F24CF"/>
    <w:rsid w:val="001F2EB2"/>
    <w:rsid w:val="001F3BC5"/>
    <w:rsid w:val="001F403D"/>
    <w:rsid w:val="001F5E1B"/>
    <w:rsid w:val="001F619C"/>
    <w:rsid w:val="001F669D"/>
    <w:rsid w:val="0020000D"/>
    <w:rsid w:val="002014F6"/>
    <w:rsid w:val="00201C0E"/>
    <w:rsid w:val="002023B8"/>
    <w:rsid w:val="0020588F"/>
    <w:rsid w:val="00207ABD"/>
    <w:rsid w:val="00207F1C"/>
    <w:rsid w:val="0021021F"/>
    <w:rsid w:val="002146DC"/>
    <w:rsid w:val="002148C5"/>
    <w:rsid w:val="00214B24"/>
    <w:rsid w:val="00214C96"/>
    <w:rsid w:val="002166BB"/>
    <w:rsid w:val="002169D5"/>
    <w:rsid w:val="0021792C"/>
    <w:rsid w:val="00217C0E"/>
    <w:rsid w:val="002211E8"/>
    <w:rsid w:val="00221D0F"/>
    <w:rsid w:val="00221F26"/>
    <w:rsid w:val="00222BDF"/>
    <w:rsid w:val="00225779"/>
    <w:rsid w:val="00225FF4"/>
    <w:rsid w:val="00226A75"/>
    <w:rsid w:val="00227D19"/>
    <w:rsid w:val="00227D7F"/>
    <w:rsid w:val="002308DD"/>
    <w:rsid w:val="0023225A"/>
    <w:rsid w:val="002325FF"/>
    <w:rsid w:val="00232694"/>
    <w:rsid w:val="00232862"/>
    <w:rsid w:val="002329E7"/>
    <w:rsid w:val="00232CE6"/>
    <w:rsid w:val="0023346F"/>
    <w:rsid w:val="00233F42"/>
    <w:rsid w:val="00234F2A"/>
    <w:rsid w:val="00234F3D"/>
    <w:rsid w:val="002351C1"/>
    <w:rsid w:val="00235E34"/>
    <w:rsid w:val="00237CB9"/>
    <w:rsid w:val="00240113"/>
    <w:rsid w:val="00240D2C"/>
    <w:rsid w:val="00240FF6"/>
    <w:rsid w:val="002417F6"/>
    <w:rsid w:val="00241E9E"/>
    <w:rsid w:val="0024251C"/>
    <w:rsid w:val="00242B13"/>
    <w:rsid w:val="00242FE5"/>
    <w:rsid w:val="00243FCA"/>
    <w:rsid w:val="00244300"/>
    <w:rsid w:val="002448AE"/>
    <w:rsid w:val="00244AF3"/>
    <w:rsid w:val="00244F45"/>
    <w:rsid w:val="0024561E"/>
    <w:rsid w:val="0024564E"/>
    <w:rsid w:val="0024715C"/>
    <w:rsid w:val="00247CC3"/>
    <w:rsid w:val="00247DF2"/>
    <w:rsid w:val="002501FE"/>
    <w:rsid w:val="002516B8"/>
    <w:rsid w:val="0025193D"/>
    <w:rsid w:val="002535B4"/>
    <w:rsid w:val="00253BD3"/>
    <w:rsid w:val="00253E86"/>
    <w:rsid w:val="00256611"/>
    <w:rsid w:val="00261161"/>
    <w:rsid w:val="00261A86"/>
    <w:rsid w:val="00261FB5"/>
    <w:rsid w:val="0026286F"/>
    <w:rsid w:val="00263500"/>
    <w:rsid w:val="00265D92"/>
    <w:rsid w:val="00266109"/>
    <w:rsid w:val="0026639C"/>
    <w:rsid w:val="00267E38"/>
    <w:rsid w:val="0027024E"/>
    <w:rsid w:val="00270396"/>
    <w:rsid w:val="00270FD5"/>
    <w:rsid w:val="0027210B"/>
    <w:rsid w:val="00272EEE"/>
    <w:rsid w:val="00273A00"/>
    <w:rsid w:val="00274A34"/>
    <w:rsid w:val="00275F0C"/>
    <w:rsid w:val="00276B8E"/>
    <w:rsid w:val="002770AF"/>
    <w:rsid w:val="002770F2"/>
    <w:rsid w:val="0027723F"/>
    <w:rsid w:val="00281D42"/>
    <w:rsid w:val="0028391B"/>
    <w:rsid w:val="00283AF6"/>
    <w:rsid w:val="00284476"/>
    <w:rsid w:val="0028521C"/>
    <w:rsid w:val="00285281"/>
    <w:rsid w:val="00285654"/>
    <w:rsid w:val="00285D1A"/>
    <w:rsid w:val="00286480"/>
    <w:rsid w:val="00287CAE"/>
    <w:rsid w:val="00287D47"/>
    <w:rsid w:val="00287E4C"/>
    <w:rsid w:val="0029017D"/>
    <w:rsid w:val="0029320C"/>
    <w:rsid w:val="00293CAA"/>
    <w:rsid w:val="002946D0"/>
    <w:rsid w:val="00294C6F"/>
    <w:rsid w:val="002956EB"/>
    <w:rsid w:val="0029592F"/>
    <w:rsid w:val="0029711A"/>
    <w:rsid w:val="00297FB2"/>
    <w:rsid w:val="002A1024"/>
    <w:rsid w:val="002A3273"/>
    <w:rsid w:val="002A36A4"/>
    <w:rsid w:val="002A4541"/>
    <w:rsid w:val="002A54BC"/>
    <w:rsid w:val="002A6C27"/>
    <w:rsid w:val="002B0099"/>
    <w:rsid w:val="002B111C"/>
    <w:rsid w:val="002B1968"/>
    <w:rsid w:val="002B1EEF"/>
    <w:rsid w:val="002B2BF8"/>
    <w:rsid w:val="002B2EE6"/>
    <w:rsid w:val="002B4815"/>
    <w:rsid w:val="002B5822"/>
    <w:rsid w:val="002B758E"/>
    <w:rsid w:val="002C09AD"/>
    <w:rsid w:val="002C09DE"/>
    <w:rsid w:val="002C0A60"/>
    <w:rsid w:val="002C0F67"/>
    <w:rsid w:val="002C3710"/>
    <w:rsid w:val="002C3B26"/>
    <w:rsid w:val="002C3E18"/>
    <w:rsid w:val="002C400D"/>
    <w:rsid w:val="002C4462"/>
    <w:rsid w:val="002C7BF3"/>
    <w:rsid w:val="002D05C8"/>
    <w:rsid w:val="002D067D"/>
    <w:rsid w:val="002D2801"/>
    <w:rsid w:val="002D55AD"/>
    <w:rsid w:val="002D5685"/>
    <w:rsid w:val="002D64A4"/>
    <w:rsid w:val="002D6614"/>
    <w:rsid w:val="002D66A7"/>
    <w:rsid w:val="002D67B5"/>
    <w:rsid w:val="002D6FE3"/>
    <w:rsid w:val="002D7469"/>
    <w:rsid w:val="002D794A"/>
    <w:rsid w:val="002E0098"/>
    <w:rsid w:val="002E08F5"/>
    <w:rsid w:val="002E1538"/>
    <w:rsid w:val="002E254C"/>
    <w:rsid w:val="002E2628"/>
    <w:rsid w:val="002E4005"/>
    <w:rsid w:val="002E4BA7"/>
    <w:rsid w:val="002E57AD"/>
    <w:rsid w:val="002E5D9A"/>
    <w:rsid w:val="002E6086"/>
    <w:rsid w:val="002E7BB3"/>
    <w:rsid w:val="002F032A"/>
    <w:rsid w:val="002F050B"/>
    <w:rsid w:val="002F0518"/>
    <w:rsid w:val="002F0572"/>
    <w:rsid w:val="002F1CDF"/>
    <w:rsid w:val="002F297B"/>
    <w:rsid w:val="002F35E8"/>
    <w:rsid w:val="002F53C2"/>
    <w:rsid w:val="002F57F5"/>
    <w:rsid w:val="002F59A9"/>
    <w:rsid w:val="002F70C1"/>
    <w:rsid w:val="00300411"/>
    <w:rsid w:val="00301E62"/>
    <w:rsid w:val="00302076"/>
    <w:rsid w:val="003023FB"/>
    <w:rsid w:val="00303865"/>
    <w:rsid w:val="0030424A"/>
    <w:rsid w:val="003045C6"/>
    <w:rsid w:val="00304F86"/>
    <w:rsid w:val="00305E01"/>
    <w:rsid w:val="00307E26"/>
    <w:rsid w:val="0031086C"/>
    <w:rsid w:val="00312BDA"/>
    <w:rsid w:val="00313F32"/>
    <w:rsid w:val="003156E7"/>
    <w:rsid w:val="003160C5"/>
    <w:rsid w:val="00320286"/>
    <w:rsid w:val="0032099F"/>
    <w:rsid w:val="00321398"/>
    <w:rsid w:val="00321641"/>
    <w:rsid w:val="0032339C"/>
    <w:rsid w:val="0032383D"/>
    <w:rsid w:val="00324156"/>
    <w:rsid w:val="00324AE4"/>
    <w:rsid w:val="0032506B"/>
    <w:rsid w:val="00326093"/>
    <w:rsid w:val="0032621B"/>
    <w:rsid w:val="00326A05"/>
    <w:rsid w:val="00326E51"/>
    <w:rsid w:val="0032740A"/>
    <w:rsid w:val="00330715"/>
    <w:rsid w:val="003316BF"/>
    <w:rsid w:val="00331A69"/>
    <w:rsid w:val="00331AC8"/>
    <w:rsid w:val="003327FE"/>
    <w:rsid w:val="00332C7A"/>
    <w:rsid w:val="00335367"/>
    <w:rsid w:val="003356FE"/>
    <w:rsid w:val="00335FBA"/>
    <w:rsid w:val="00340399"/>
    <w:rsid w:val="0034079F"/>
    <w:rsid w:val="00340AB5"/>
    <w:rsid w:val="00340ED0"/>
    <w:rsid w:val="00341462"/>
    <w:rsid w:val="00341928"/>
    <w:rsid w:val="00341BB9"/>
    <w:rsid w:val="003441A4"/>
    <w:rsid w:val="0034491B"/>
    <w:rsid w:val="003465D8"/>
    <w:rsid w:val="003476B1"/>
    <w:rsid w:val="00351396"/>
    <w:rsid w:val="00351455"/>
    <w:rsid w:val="00351D4B"/>
    <w:rsid w:val="00351DEB"/>
    <w:rsid w:val="003535F2"/>
    <w:rsid w:val="00353628"/>
    <w:rsid w:val="00355F88"/>
    <w:rsid w:val="003560B3"/>
    <w:rsid w:val="0035639E"/>
    <w:rsid w:val="0035723E"/>
    <w:rsid w:val="00357533"/>
    <w:rsid w:val="003576BD"/>
    <w:rsid w:val="00357E49"/>
    <w:rsid w:val="00357EEA"/>
    <w:rsid w:val="00361D25"/>
    <w:rsid w:val="00361EC0"/>
    <w:rsid w:val="00363784"/>
    <w:rsid w:val="00363AB8"/>
    <w:rsid w:val="0036479A"/>
    <w:rsid w:val="00366DCC"/>
    <w:rsid w:val="0037031B"/>
    <w:rsid w:val="0037218A"/>
    <w:rsid w:val="003726CD"/>
    <w:rsid w:val="00373054"/>
    <w:rsid w:val="00373ED3"/>
    <w:rsid w:val="00373F4B"/>
    <w:rsid w:val="003748DE"/>
    <w:rsid w:val="00374A32"/>
    <w:rsid w:val="003756BF"/>
    <w:rsid w:val="00376DCF"/>
    <w:rsid w:val="003772AE"/>
    <w:rsid w:val="00380546"/>
    <w:rsid w:val="00381B2C"/>
    <w:rsid w:val="00381EE3"/>
    <w:rsid w:val="00382110"/>
    <w:rsid w:val="00382517"/>
    <w:rsid w:val="00383701"/>
    <w:rsid w:val="00383AD0"/>
    <w:rsid w:val="00383FD2"/>
    <w:rsid w:val="00385DD0"/>
    <w:rsid w:val="00386942"/>
    <w:rsid w:val="00386F82"/>
    <w:rsid w:val="00386FE1"/>
    <w:rsid w:val="0038760F"/>
    <w:rsid w:val="003876C5"/>
    <w:rsid w:val="00387745"/>
    <w:rsid w:val="00390B53"/>
    <w:rsid w:val="00391C60"/>
    <w:rsid w:val="00393D85"/>
    <w:rsid w:val="0039516F"/>
    <w:rsid w:val="00395A55"/>
    <w:rsid w:val="0039690F"/>
    <w:rsid w:val="00396DF4"/>
    <w:rsid w:val="00396FF7"/>
    <w:rsid w:val="003973F2"/>
    <w:rsid w:val="00397FF8"/>
    <w:rsid w:val="003A02C9"/>
    <w:rsid w:val="003A0CA4"/>
    <w:rsid w:val="003A1C1C"/>
    <w:rsid w:val="003A1C98"/>
    <w:rsid w:val="003A23AC"/>
    <w:rsid w:val="003A2DAD"/>
    <w:rsid w:val="003A375F"/>
    <w:rsid w:val="003A3C72"/>
    <w:rsid w:val="003A400A"/>
    <w:rsid w:val="003A4F52"/>
    <w:rsid w:val="003A6F6D"/>
    <w:rsid w:val="003B1480"/>
    <w:rsid w:val="003B21FF"/>
    <w:rsid w:val="003B4031"/>
    <w:rsid w:val="003B5517"/>
    <w:rsid w:val="003B562A"/>
    <w:rsid w:val="003B6325"/>
    <w:rsid w:val="003B6614"/>
    <w:rsid w:val="003B6D2E"/>
    <w:rsid w:val="003B6E28"/>
    <w:rsid w:val="003B7E4B"/>
    <w:rsid w:val="003C1545"/>
    <w:rsid w:val="003C1D62"/>
    <w:rsid w:val="003C270A"/>
    <w:rsid w:val="003C2C36"/>
    <w:rsid w:val="003C3644"/>
    <w:rsid w:val="003C37C4"/>
    <w:rsid w:val="003C480F"/>
    <w:rsid w:val="003C4836"/>
    <w:rsid w:val="003C4EB4"/>
    <w:rsid w:val="003C6B8B"/>
    <w:rsid w:val="003C6D6D"/>
    <w:rsid w:val="003C7B5D"/>
    <w:rsid w:val="003D0FB0"/>
    <w:rsid w:val="003D1C84"/>
    <w:rsid w:val="003D313D"/>
    <w:rsid w:val="003D6286"/>
    <w:rsid w:val="003E02E5"/>
    <w:rsid w:val="003E1124"/>
    <w:rsid w:val="003E211B"/>
    <w:rsid w:val="003E305B"/>
    <w:rsid w:val="003E5926"/>
    <w:rsid w:val="003E5BDC"/>
    <w:rsid w:val="003E7C0F"/>
    <w:rsid w:val="003F029F"/>
    <w:rsid w:val="003F0730"/>
    <w:rsid w:val="003F0D71"/>
    <w:rsid w:val="003F2D57"/>
    <w:rsid w:val="003F2F6A"/>
    <w:rsid w:val="003F467E"/>
    <w:rsid w:val="003F5093"/>
    <w:rsid w:val="003F5205"/>
    <w:rsid w:val="003F68BC"/>
    <w:rsid w:val="003F6EBB"/>
    <w:rsid w:val="003F6EFA"/>
    <w:rsid w:val="003F7365"/>
    <w:rsid w:val="003F7F9E"/>
    <w:rsid w:val="00401459"/>
    <w:rsid w:val="00401CDD"/>
    <w:rsid w:val="004021A5"/>
    <w:rsid w:val="00404032"/>
    <w:rsid w:val="00405E7E"/>
    <w:rsid w:val="0040679F"/>
    <w:rsid w:val="00407CF9"/>
    <w:rsid w:val="00410BA9"/>
    <w:rsid w:val="00410D0C"/>
    <w:rsid w:val="004118CA"/>
    <w:rsid w:val="00411E8C"/>
    <w:rsid w:val="00413599"/>
    <w:rsid w:val="00413A52"/>
    <w:rsid w:val="00413E6A"/>
    <w:rsid w:val="00414C9E"/>
    <w:rsid w:val="00415090"/>
    <w:rsid w:val="00416591"/>
    <w:rsid w:val="00416856"/>
    <w:rsid w:val="00417050"/>
    <w:rsid w:val="00417F38"/>
    <w:rsid w:val="0042018D"/>
    <w:rsid w:val="004214C7"/>
    <w:rsid w:val="004215AC"/>
    <w:rsid w:val="00423244"/>
    <w:rsid w:val="004245E5"/>
    <w:rsid w:val="00425051"/>
    <w:rsid w:val="00426562"/>
    <w:rsid w:val="004277DD"/>
    <w:rsid w:val="00427EEF"/>
    <w:rsid w:val="00430203"/>
    <w:rsid w:val="00430E82"/>
    <w:rsid w:val="004322D3"/>
    <w:rsid w:val="00432673"/>
    <w:rsid w:val="0043324D"/>
    <w:rsid w:val="00433922"/>
    <w:rsid w:val="00433990"/>
    <w:rsid w:val="00435ABC"/>
    <w:rsid w:val="00436FB9"/>
    <w:rsid w:val="00437476"/>
    <w:rsid w:val="004377EB"/>
    <w:rsid w:val="00437DBB"/>
    <w:rsid w:val="0044042D"/>
    <w:rsid w:val="00444F98"/>
    <w:rsid w:val="004455BE"/>
    <w:rsid w:val="00446231"/>
    <w:rsid w:val="004464AD"/>
    <w:rsid w:val="00447EDF"/>
    <w:rsid w:val="00450060"/>
    <w:rsid w:val="004507CC"/>
    <w:rsid w:val="00451284"/>
    <w:rsid w:val="00451EFD"/>
    <w:rsid w:val="0045207B"/>
    <w:rsid w:val="00453C8C"/>
    <w:rsid w:val="0045441A"/>
    <w:rsid w:val="00454AA5"/>
    <w:rsid w:val="004555A5"/>
    <w:rsid w:val="00456097"/>
    <w:rsid w:val="00456CB1"/>
    <w:rsid w:val="00460248"/>
    <w:rsid w:val="00460C7E"/>
    <w:rsid w:val="0046172A"/>
    <w:rsid w:val="00464D6F"/>
    <w:rsid w:val="00465761"/>
    <w:rsid w:val="004660B6"/>
    <w:rsid w:val="004665AF"/>
    <w:rsid w:val="004669BD"/>
    <w:rsid w:val="00470351"/>
    <w:rsid w:val="004704AF"/>
    <w:rsid w:val="0047152B"/>
    <w:rsid w:val="0047201C"/>
    <w:rsid w:val="00472105"/>
    <w:rsid w:val="00472635"/>
    <w:rsid w:val="004737D0"/>
    <w:rsid w:val="004742DE"/>
    <w:rsid w:val="00476937"/>
    <w:rsid w:val="00476B5E"/>
    <w:rsid w:val="00476C2A"/>
    <w:rsid w:val="0047778E"/>
    <w:rsid w:val="00477925"/>
    <w:rsid w:val="00480117"/>
    <w:rsid w:val="00482489"/>
    <w:rsid w:val="0048275E"/>
    <w:rsid w:val="00482DEA"/>
    <w:rsid w:val="004836B0"/>
    <w:rsid w:val="004864F1"/>
    <w:rsid w:val="0049007A"/>
    <w:rsid w:val="00490317"/>
    <w:rsid w:val="004907BB"/>
    <w:rsid w:val="00490990"/>
    <w:rsid w:val="0049189B"/>
    <w:rsid w:val="00491A81"/>
    <w:rsid w:val="00492574"/>
    <w:rsid w:val="00493FC1"/>
    <w:rsid w:val="00494D17"/>
    <w:rsid w:val="00494D4F"/>
    <w:rsid w:val="004952C6"/>
    <w:rsid w:val="004956D4"/>
    <w:rsid w:val="00495A73"/>
    <w:rsid w:val="00495C18"/>
    <w:rsid w:val="004964A6"/>
    <w:rsid w:val="004A0725"/>
    <w:rsid w:val="004A1634"/>
    <w:rsid w:val="004A16CF"/>
    <w:rsid w:val="004A2DAA"/>
    <w:rsid w:val="004A2DFE"/>
    <w:rsid w:val="004A2EDB"/>
    <w:rsid w:val="004A31E9"/>
    <w:rsid w:val="004A39CA"/>
    <w:rsid w:val="004A3C89"/>
    <w:rsid w:val="004A442B"/>
    <w:rsid w:val="004A597B"/>
    <w:rsid w:val="004A6757"/>
    <w:rsid w:val="004A76F1"/>
    <w:rsid w:val="004A7DA5"/>
    <w:rsid w:val="004A7E57"/>
    <w:rsid w:val="004B0190"/>
    <w:rsid w:val="004B0EFA"/>
    <w:rsid w:val="004B1316"/>
    <w:rsid w:val="004B1F4F"/>
    <w:rsid w:val="004B26D7"/>
    <w:rsid w:val="004B3750"/>
    <w:rsid w:val="004B4234"/>
    <w:rsid w:val="004B4499"/>
    <w:rsid w:val="004B4B2E"/>
    <w:rsid w:val="004B6077"/>
    <w:rsid w:val="004B79FC"/>
    <w:rsid w:val="004C02FC"/>
    <w:rsid w:val="004C036A"/>
    <w:rsid w:val="004C0F7F"/>
    <w:rsid w:val="004C14E2"/>
    <w:rsid w:val="004C3FAF"/>
    <w:rsid w:val="004C63A8"/>
    <w:rsid w:val="004C68A0"/>
    <w:rsid w:val="004C73A6"/>
    <w:rsid w:val="004D0073"/>
    <w:rsid w:val="004D01BA"/>
    <w:rsid w:val="004D1B83"/>
    <w:rsid w:val="004D1D28"/>
    <w:rsid w:val="004D27CD"/>
    <w:rsid w:val="004D5FA0"/>
    <w:rsid w:val="004D61EE"/>
    <w:rsid w:val="004D657E"/>
    <w:rsid w:val="004D6661"/>
    <w:rsid w:val="004D6C14"/>
    <w:rsid w:val="004D7145"/>
    <w:rsid w:val="004D7D22"/>
    <w:rsid w:val="004E0A85"/>
    <w:rsid w:val="004E0B1C"/>
    <w:rsid w:val="004E0BCB"/>
    <w:rsid w:val="004E141D"/>
    <w:rsid w:val="004E1BA9"/>
    <w:rsid w:val="004E3084"/>
    <w:rsid w:val="004E328E"/>
    <w:rsid w:val="004E46E3"/>
    <w:rsid w:val="004E6A8F"/>
    <w:rsid w:val="004F0340"/>
    <w:rsid w:val="004F40F8"/>
    <w:rsid w:val="004F64FB"/>
    <w:rsid w:val="004F6976"/>
    <w:rsid w:val="004F72E8"/>
    <w:rsid w:val="00500290"/>
    <w:rsid w:val="00504264"/>
    <w:rsid w:val="00504F9F"/>
    <w:rsid w:val="005052CE"/>
    <w:rsid w:val="00505B3A"/>
    <w:rsid w:val="005067F3"/>
    <w:rsid w:val="00506BBE"/>
    <w:rsid w:val="00506BC9"/>
    <w:rsid w:val="00506E77"/>
    <w:rsid w:val="00506FD2"/>
    <w:rsid w:val="00507EC9"/>
    <w:rsid w:val="00510569"/>
    <w:rsid w:val="00510E61"/>
    <w:rsid w:val="00511938"/>
    <w:rsid w:val="00511B30"/>
    <w:rsid w:val="005121F0"/>
    <w:rsid w:val="005124CF"/>
    <w:rsid w:val="00513A37"/>
    <w:rsid w:val="00513C59"/>
    <w:rsid w:val="0051412B"/>
    <w:rsid w:val="00515B62"/>
    <w:rsid w:val="00516067"/>
    <w:rsid w:val="0051637F"/>
    <w:rsid w:val="0051717D"/>
    <w:rsid w:val="005171EE"/>
    <w:rsid w:val="00517A92"/>
    <w:rsid w:val="00517AB8"/>
    <w:rsid w:val="00517BDB"/>
    <w:rsid w:val="005201E6"/>
    <w:rsid w:val="0052112D"/>
    <w:rsid w:val="00523746"/>
    <w:rsid w:val="005244BA"/>
    <w:rsid w:val="00525012"/>
    <w:rsid w:val="00525AF9"/>
    <w:rsid w:val="00527BC7"/>
    <w:rsid w:val="00527E67"/>
    <w:rsid w:val="00530912"/>
    <w:rsid w:val="00530E1C"/>
    <w:rsid w:val="00532D2E"/>
    <w:rsid w:val="00532F21"/>
    <w:rsid w:val="00533A76"/>
    <w:rsid w:val="00535359"/>
    <w:rsid w:val="0053728A"/>
    <w:rsid w:val="005401B8"/>
    <w:rsid w:val="005403BD"/>
    <w:rsid w:val="005414A9"/>
    <w:rsid w:val="005423C0"/>
    <w:rsid w:val="00545F10"/>
    <w:rsid w:val="005471B8"/>
    <w:rsid w:val="0055184C"/>
    <w:rsid w:val="00551888"/>
    <w:rsid w:val="00552178"/>
    <w:rsid w:val="00553DC7"/>
    <w:rsid w:val="00553EBB"/>
    <w:rsid w:val="00554281"/>
    <w:rsid w:val="005544BB"/>
    <w:rsid w:val="0055483D"/>
    <w:rsid w:val="00554CFF"/>
    <w:rsid w:val="00555538"/>
    <w:rsid w:val="005555B3"/>
    <w:rsid w:val="005576F7"/>
    <w:rsid w:val="00557BE8"/>
    <w:rsid w:val="00562F9A"/>
    <w:rsid w:val="005634F4"/>
    <w:rsid w:val="00563646"/>
    <w:rsid w:val="00565220"/>
    <w:rsid w:val="0056620F"/>
    <w:rsid w:val="00567306"/>
    <w:rsid w:val="0057076A"/>
    <w:rsid w:val="00571006"/>
    <w:rsid w:val="00571B00"/>
    <w:rsid w:val="00571E2F"/>
    <w:rsid w:val="00572037"/>
    <w:rsid w:val="00572039"/>
    <w:rsid w:val="00572266"/>
    <w:rsid w:val="00572F09"/>
    <w:rsid w:val="00573651"/>
    <w:rsid w:val="00575E4A"/>
    <w:rsid w:val="00576A29"/>
    <w:rsid w:val="005774FE"/>
    <w:rsid w:val="00577894"/>
    <w:rsid w:val="00580B89"/>
    <w:rsid w:val="00580F8C"/>
    <w:rsid w:val="00581ECE"/>
    <w:rsid w:val="005824A0"/>
    <w:rsid w:val="00582938"/>
    <w:rsid w:val="00584AB9"/>
    <w:rsid w:val="005854A7"/>
    <w:rsid w:val="00587145"/>
    <w:rsid w:val="005873E0"/>
    <w:rsid w:val="00587D06"/>
    <w:rsid w:val="00591252"/>
    <w:rsid w:val="0059131A"/>
    <w:rsid w:val="00591601"/>
    <w:rsid w:val="005922FA"/>
    <w:rsid w:val="00592A97"/>
    <w:rsid w:val="005938AF"/>
    <w:rsid w:val="005939E0"/>
    <w:rsid w:val="00594954"/>
    <w:rsid w:val="0059630F"/>
    <w:rsid w:val="00596502"/>
    <w:rsid w:val="0059650A"/>
    <w:rsid w:val="0059662A"/>
    <w:rsid w:val="00596892"/>
    <w:rsid w:val="00596B01"/>
    <w:rsid w:val="005A13D5"/>
    <w:rsid w:val="005A2673"/>
    <w:rsid w:val="005A3CCA"/>
    <w:rsid w:val="005A4B0B"/>
    <w:rsid w:val="005A52E4"/>
    <w:rsid w:val="005A6211"/>
    <w:rsid w:val="005A634C"/>
    <w:rsid w:val="005A644F"/>
    <w:rsid w:val="005A6B1E"/>
    <w:rsid w:val="005A6B61"/>
    <w:rsid w:val="005A775B"/>
    <w:rsid w:val="005A7C20"/>
    <w:rsid w:val="005B010F"/>
    <w:rsid w:val="005B01EB"/>
    <w:rsid w:val="005B0F01"/>
    <w:rsid w:val="005B169C"/>
    <w:rsid w:val="005B17DA"/>
    <w:rsid w:val="005B29D4"/>
    <w:rsid w:val="005B29DA"/>
    <w:rsid w:val="005B58CE"/>
    <w:rsid w:val="005B5D28"/>
    <w:rsid w:val="005B68DA"/>
    <w:rsid w:val="005B715A"/>
    <w:rsid w:val="005B7C5B"/>
    <w:rsid w:val="005C1218"/>
    <w:rsid w:val="005C12F2"/>
    <w:rsid w:val="005C1CA9"/>
    <w:rsid w:val="005C32C3"/>
    <w:rsid w:val="005C3909"/>
    <w:rsid w:val="005C3AC7"/>
    <w:rsid w:val="005C3E7E"/>
    <w:rsid w:val="005C4173"/>
    <w:rsid w:val="005C43D7"/>
    <w:rsid w:val="005C4E58"/>
    <w:rsid w:val="005C54A4"/>
    <w:rsid w:val="005C5752"/>
    <w:rsid w:val="005C62AE"/>
    <w:rsid w:val="005C6591"/>
    <w:rsid w:val="005C6A86"/>
    <w:rsid w:val="005C6CDB"/>
    <w:rsid w:val="005D040E"/>
    <w:rsid w:val="005D1983"/>
    <w:rsid w:val="005D249C"/>
    <w:rsid w:val="005D2A44"/>
    <w:rsid w:val="005D3D7E"/>
    <w:rsid w:val="005D41ED"/>
    <w:rsid w:val="005D46FD"/>
    <w:rsid w:val="005D4A29"/>
    <w:rsid w:val="005D4E5E"/>
    <w:rsid w:val="005D57D0"/>
    <w:rsid w:val="005D5D96"/>
    <w:rsid w:val="005E0BE4"/>
    <w:rsid w:val="005E281A"/>
    <w:rsid w:val="005E39D3"/>
    <w:rsid w:val="005E4305"/>
    <w:rsid w:val="005E5898"/>
    <w:rsid w:val="005E5EDE"/>
    <w:rsid w:val="005E670D"/>
    <w:rsid w:val="005F04A7"/>
    <w:rsid w:val="005F0F45"/>
    <w:rsid w:val="005F10D9"/>
    <w:rsid w:val="005F2996"/>
    <w:rsid w:val="005F3018"/>
    <w:rsid w:val="005F3042"/>
    <w:rsid w:val="005F3D47"/>
    <w:rsid w:val="005F4402"/>
    <w:rsid w:val="005F5448"/>
    <w:rsid w:val="005F6558"/>
    <w:rsid w:val="005F66EA"/>
    <w:rsid w:val="005F758B"/>
    <w:rsid w:val="0060066B"/>
    <w:rsid w:val="0060073C"/>
    <w:rsid w:val="0060147F"/>
    <w:rsid w:val="006025FD"/>
    <w:rsid w:val="006031C6"/>
    <w:rsid w:val="00603238"/>
    <w:rsid w:val="00603BA5"/>
    <w:rsid w:val="00603C44"/>
    <w:rsid w:val="006040D3"/>
    <w:rsid w:val="00605C5C"/>
    <w:rsid w:val="00606598"/>
    <w:rsid w:val="00606BED"/>
    <w:rsid w:val="00610683"/>
    <w:rsid w:val="0061082D"/>
    <w:rsid w:val="00610A4F"/>
    <w:rsid w:val="00611A08"/>
    <w:rsid w:val="00613743"/>
    <w:rsid w:val="006139E0"/>
    <w:rsid w:val="006145A3"/>
    <w:rsid w:val="006151C7"/>
    <w:rsid w:val="00615391"/>
    <w:rsid w:val="006154FF"/>
    <w:rsid w:val="006172E3"/>
    <w:rsid w:val="0062148C"/>
    <w:rsid w:val="00623F2E"/>
    <w:rsid w:val="00624041"/>
    <w:rsid w:val="00624280"/>
    <w:rsid w:val="006244AE"/>
    <w:rsid w:val="00624A8B"/>
    <w:rsid w:val="00626BFC"/>
    <w:rsid w:val="00627170"/>
    <w:rsid w:val="00627DC8"/>
    <w:rsid w:val="0063059E"/>
    <w:rsid w:val="00631B0F"/>
    <w:rsid w:val="006320A0"/>
    <w:rsid w:val="0063226D"/>
    <w:rsid w:val="00634652"/>
    <w:rsid w:val="006349B1"/>
    <w:rsid w:val="00634B49"/>
    <w:rsid w:val="00636006"/>
    <w:rsid w:val="00640368"/>
    <w:rsid w:val="0064064A"/>
    <w:rsid w:val="00641FF6"/>
    <w:rsid w:val="006451CF"/>
    <w:rsid w:val="006459FE"/>
    <w:rsid w:val="00647322"/>
    <w:rsid w:val="006502C1"/>
    <w:rsid w:val="00650F02"/>
    <w:rsid w:val="00652BEB"/>
    <w:rsid w:val="00653665"/>
    <w:rsid w:val="00653916"/>
    <w:rsid w:val="00653B39"/>
    <w:rsid w:val="00654392"/>
    <w:rsid w:val="00656344"/>
    <w:rsid w:val="00656464"/>
    <w:rsid w:val="006566EA"/>
    <w:rsid w:val="00656BA5"/>
    <w:rsid w:val="00657958"/>
    <w:rsid w:val="006579A5"/>
    <w:rsid w:val="00657CFB"/>
    <w:rsid w:val="00660463"/>
    <w:rsid w:val="006629DE"/>
    <w:rsid w:val="0066309D"/>
    <w:rsid w:val="006637FA"/>
    <w:rsid w:val="006647D2"/>
    <w:rsid w:val="00664B10"/>
    <w:rsid w:val="00664CC5"/>
    <w:rsid w:val="0066569F"/>
    <w:rsid w:val="006657BA"/>
    <w:rsid w:val="00665D23"/>
    <w:rsid w:val="0066728E"/>
    <w:rsid w:val="0067028E"/>
    <w:rsid w:val="0067093F"/>
    <w:rsid w:val="006731EE"/>
    <w:rsid w:val="00673A86"/>
    <w:rsid w:val="00673B2B"/>
    <w:rsid w:val="00675317"/>
    <w:rsid w:val="0067610F"/>
    <w:rsid w:val="0067684C"/>
    <w:rsid w:val="00676E4B"/>
    <w:rsid w:val="0067725A"/>
    <w:rsid w:val="00677D25"/>
    <w:rsid w:val="00677D73"/>
    <w:rsid w:val="00680669"/>
    <w:rsid w:val="006813A6"/>
    <w:rsid w:val="00681650"/>
    <w:rsid w:val="00681A2E"/>
    <w:rsid w:val="00681F4F"/>
    <w:rsid w:val="0068292F"/>
    <w:rsid w:val="00682DE1"/>
    <w:rsid w:val="00683798"/>
    <w:rsid w:val="00683840"/>
    <w:rsid w:val="00683AEA"/>
    <w:rsid w:val="00684158"/>
    <w:rsid w:val="00684CB1"/>
    <w:rsid w:val="00686006"/>
    <w:rsid w:val="006867B3"/>
    <w:rsid w:val="00690F78"/>
    <w:rsid w:val="006910EB"/>
    <w:rsid w:val="0069136F"/>
    <w:rsid w:val="00691428"/>
    <w:rsid w:val="006917C2"/>
    <w:rsid w:val="00691D71"/>
    <w:rsid w:val="00692747"/>
    <w:rsid w:val="006937A3"/>
    <w:rsid w:val="0069591B"/>
    <w:rsid w:val="00696F48"/>
    <w:rsid w:val="0069744D"/>
    <w:rsid w:val="006A0EF4"/>
    <w:rsid w:val="006A151F"/>
    <w:rsid w:val="006A17FE"/>
    <w:rsid w:val="006A1AA0"/>
    <w:rsid w:val="006A1F4B"/>
    <w:rsid w:val="006A27C0"/>
    <w:rsid w:val="006A2CB8"/>
    <w:rsid w:val="006A40AF"/>
    <w:rsid w:val="006A4992"/>
    <w:rsid w:val="006A54CB"/>
    <w:rsid w:val="006A5AE5"/>
    <w:rsid w:val="006A5B18"/>
    <w:rsid w:val="006A5DCC"/>
    <w:rsid w:val="006A609A"/>
    <w:rsid w:val="006A6B67"/>
    <w:rsid w:val="006A71F9"/>
    <w:rsid w:val="006B1158"/>
    <w:rsid w:val="006B2EEE"/>
    <w:rsid w:val="006B5415"/>
    <w:rsid w:val="006B5532"/>
    <w:rsid w:val="006B6ACE"/>
    <w:rsid w:val="006B6E74"/>
    <w:rsid w:val="006B7B98"/>
    <w:rsid w:val="006C07C0"/>
    <w:rsid w:val="006C1612"/>
    <w:rsid w:val="006C18F2"/>
    <w:rsid w:val="006C3E0E"/>
    <w:rsid w:val="006C4534"/>
    <w:rsid w:val="006C45EB"/>
    <w:rsid w:val="006C473D"/>
    <w:rsid w:val="006C4A6D"/>
    <w:rsid w:val="006C52A4"/>
    <w:rsid w:val="006C5371"/>
    <w:rsid w:val="006C5698"/>
    <w:rsid w:val="006C6E4C"/>
    <w:rsid w:val="006C6EDB"/>
    <w:rsid w:val="006D0604"/>
    <w:rsid w:val="006D0ACF"/>
    <w:rsid w:val="006D17FB"/>
    <w:rsid w:val="006D1876"/>
    <w:rsid w:val="006D32AC"/>
    <w:rsid w:val="006D58E8"/>
    <w:rsid w:val="006D6B5A"/>
    <w:rsid w:val="006D6F9B"/>
    <w:rsid w:val="006D780C"/>
    <w:rsid w:val="006D7911"/>
    <w:rsid w:val="006E0BE4"/>
    <w:rsid w:val="006E27E6"/>
    <w:rsid w:val="006E36A3"/>
    <w:rsid w:val="006E36AA"/>
    <w:rsid w:val="006E413B"/>
    <w:rsid w:val="006E4C77"/>
    <w:rsid w:val="006E500B"/>
    <w:rsid w:val="006E5CA4"/>
    <w:rsid w:val="006E634A"/>
    <w:rsid w:val="006E6DC9"/>
    <w:rsid w:val="006F15CE"/>
    <w:rsid w:val="006F218D"/>
    <w:rsid w:val="006F272E"/>
    <w:rsid w:val="006F31B4"/>
    <w:rsid w:val="006F3D31"/>
    <w:rsid w:val="006F4577"/>
    <w:rsid w:val="006F5B5A"/>
    <w:rsid w:val="006F7005"/>
    <w:rsid w:val="006F7CAF"/>
    <w:rsid w:val="0070030A"/>
    <w:rsid w:val="00700F04"/>
    <w:rsid w:val="0070125C"/>
    <w:rsid w:val="00701E46"/>
    <w:rsid w:val="00703BC5"/>
    <w:rsid w:val="00704F45"/>
    <w:rsid w:val="007051E7"/>
    <w:rsid w:val="007052EB"/>
    <w:rsid w:val="00707E3A"/>
    <w:rsid w:val="00710087"/>
    <w:rsid w:val="007103C2"/>
    <w:rsid w:val="007104C6"/>
    <w:rsid w:val="00710BBA"/>
    <w:rsid w:val="00710EEC"/>
    <w:rsid w:val="007111ED"/>
    <w:rsid w:val="0071261D"/>
    <w:rsid w:val="00713AB6"/>
    <w:rsid w:val="00713BFB"/>
    <w:rsid w:val="007154EF"/>
    <w:rsid w:val="00720D59"/>
    <w:rsid w:val="00720F29"/>
    <w:rsid w:val="00721056"/>
    <w:rsid w:val="00721627"/>
    <w:rsid w:val="0072227E"/>
    <w:rsid w:val="00722EE0"/>
    <w:rsid w:val="00723A9B"/>
    <w:rsid w:val="00723C16"/>
    <w:rsid w:val="0072420D"/>
    <w:rsid w:val="00726FF2"/>
    <w:rsid w:val="00727701"/>
    <w:rsid w:val="007312A4"/>
    <w:rsid w:val="00731431"/>
    <w:rsid w:val="00731D6A"/>
    <w:rsid w:val="0073299C"/>
    <w:rsid w:val="00732CAB"/>
    <w:rsid w:val="007337B0"/>
    <w:rsid w:val="00733ABC"/>
    <w:rsid w:val="00733AC6"/>
    <w:rsid w:val="0073412A"/>
    <w:rsid w:val="00734149"/>
    <w:rsid w:val="00735D7F"/>
    <w:rsid w:val="0073634E"/>
    <w:rsid w:val="00736663"/>
    <w:rsid w:val="0073695E"/>
    <w:rsid w:val="007376B2"/>
    <w:rsid w:val="00737791"/>
    <w:rsid w:val="00740789"/>
    <w:rsid w:val="007408A3"/>
    <w:rsid w:val="0074091A"/>
    <w:rsid w:val="007429DD"/>
    <w:rsid w:val="00742F8C"/>
    <w:rsid w:val="007432E2"/>
    <w:rsid w:val="007441E5"/>
    <w:rsid w:val="007444AB"/>
    <w:rsid w:val="007450A0"/>
    <w:rsid w:val="0074514D"/>
    <w:rsid w:val="007456A4"/>
    <w:rsid w:val="007457BA"/>
    <w:rsid w:val="00747A64"/>
    <w:rsid w:val="00750950"/>
    <w:rsid w:val="007509CC"/>
    <w:rsid w:val="0075123E"/>
    <w:rsid w:val="00752258"/>
    <w:rsid w:val="00752805"/>
    <w:rsid w:val="00752CB1"/>
    <w:rsid w:val="007532E7"/>
    <w:rsid w:val="007536A1"/>
    <w:rsid w:val="007601AE"/>
    <w:rsid w:val="007607C8"/>
    <w:rsid w:val="00760834"/>
    <w:rsid w:val="00760E98"/>
    <w:rsid w:val="00761788"/>
    <w:rsid w:val="00761B39"/>
    <w:rsid w:val="007638F8"/>
    <w:rsid w:val="007639CF"/>
    <w:rsid w:val="00763A3F"/>
    <w:rsid w:val="00764086"/>
    <w:rsid w:val="00764732"/>
    <w:rsid w:val="00765305"/>
    <w:rsid w:val="007659AF"/>
    <w:rsid w:val="007672EB"/>
    <w:rsid w:val="007676AB"/>
    <w:rsid w:val="00770250"/>
    <w:rsid w:val="007702E2"/>
    <w:rsid w:val="00771346"/>
    <w:rsid w:val="00771C9D"/>
    <w:rsid w:val="00771CAE"/>
    <w:rsid w:val="00772EDD"/>
    <w:rsid w:val="00773222"/>
    <w:rsid w:val="00773B10"/>
    <w:rsid w:val="0077403C"/>
    <w:rsid w:val="00774182"/>
    <w:rsid w:val="00775B2F"/>
    <w:rsid w:val="00776163"/>
    <w:rsid w:val="007771CF"/>
    <w:rsid w:val="00777DEE"/>
    <w:rsid w:val="00777EBD"/>
    <w:rsid w:val="00780B24"/>
    <w:rsid w:val="00781584"/>
    <w:rsid w:val="00782AA6"/>
    <w:rsid w:val="0078334D"/>
    <w:rsid w:val="00783AD2"/>
    <w:rsid w:val="007842C4"/>
    <w:rsid w:val="00784AF7"/>
    <w:rsid w:val="00784DB2"/>
    <w:rsid w:val="00784E34"/>
    <w:rsid w:val="00784FBE"/>
    <w:rsid w:val="0078512B"/>
    <w:rsid w:val="007909FF"/>
    <w:rsid w:val="007918FF"/>
    <w:rsid w:val="00792CA2"/>
    <w:rsid w:val="007937C2"/>
    <w:rsid w:val="00793E6C"/>
    <w:rsid w:val="00794B49"/>
    <w:rsid w:val="0079602B"/>
    <w:rsid w:val="00796EC5"/>
    <w:rsid w:val="00797BB6"/>
    <w:rsid w:val="007A0AB5"/>
    <w:rsid w:val="007A18B4"/>
    <w:rsid w:val="007A1E3A"/>
    <w:rsid w:val="007A22D7"/>
    <w:rsid w:val="007A55E5"/>
    <w:rsid w:val="007A5C67"/>
    <w:rsid w:val="007A5E59"/>
    <w:rsid w:val="007A6411"/>
    <w:rsid w:val="007A6BD9"/>
    <w:rsid w:val="007A76D0"/>
    <w:rsid w:val="007B1B9C"/>
    <w:rsid w:val="007B342E"/>
    <w:rsid w:val="007B39C0"/>
    <w:rsid w:val="007B3A6D"/>
    <w:rsid w:val="007B54F3"/>
    <w:rsid w:val="007B5A23"/>
    <w:rsid w:val="007B5CD1"/>
    <w:rsid w:val="007B6A54"/>
    <w:rsid w:val="007B75EC"/>
    <w:rsid w:val="007B7E25"/>
    <w:rsid w:val="007C0332"/>
    <w:rsid w:val="007C1DC5"/>
    <w:rsid w:val="007C2334"/>
    <w:rsid w:val="007C30CC"/>
    <w:rsid w:val="007C5A43"/>
    <w:rsid w:val="007C5C59"/>
    <w:rsid w:val="007C5D58"/>
    <w:rsid w:val="007C6452"/>
    <w:rsid w:val="007C64D6"/>
    <w:rsid w:val="007C6DC5"/>
    <w:rsid w:val="007D00D1"/>
    <w:rsid w:val="007D18F5"/>
    <w:rsid w:val="007D21CF"/>
    <w:rsid w:val="007D4CD9"/>
    <w:rsid w:val="007D69EC"/>
    <w:rsid w:val="007D7498"/>
    <w:rsid w:val="007D7EAF"/>
    <w:rsid w:val="007E05EE"/>
    <w:rsid w:val="007E0BD6"/>
    <w:rsid w:val="007E2540"/>
    <w:rsid w:val="007E3421"/>
    <w:rsid w:val="007E41FB"/>
    <w:rsid w:val="007E522D"/>
    <w:rsid w:val="007E634C"/>
    <w:rsid w:val="007E68BA"/>
    <w:rsid w:val="007F03DC"/>
    <w:rsid w:val="007F067C"/>
    <w:rsid w:val="007F0D0A"/>
    <w:rsid w:val="007F1114"/>
    <w:rsid w:val="007F1D33"/>
    <w:rsid w:val="007F2970"/>
    <w:rsid w:val="007F2FE2"/>
    <w:rsid w:val="007F3061"/>
    <w:rsid w:val="007F3C56"/>
    <w:rsid w:val="007F3D82"/>
    <w:rsid w:val="007F3FBD"/>
    <w:rsid w:val="007F465A"/>
    <w:rsid w:val="007F4D55"/>
    <w:rsid w:val="007F5A7E"/>
    <w:rsid w:val="007F7588"/>
    <w:rsid w:val="007F7C98"/>
    <w:rsid w:val="008005FB"/>
    <w:rsid w:val="008008C1"/>
    <w:rsid w:val="00801B02"/>
    <w:rsid w:val="00801C98"/>
    <w:rsid w:val="00801CE0"/>
    <w:rsid w:val="00801F67"/>
    <w:rsid w:val="008026AA"/>
    <w:rsid w:val="0080287A"/>
    <w:rsid w:val="00803996"/>
    <w:rsid w:val="00804286"/>
    <w:rsid w:val="00804C2E"/>
    <w:rsid w:val="00804F17"/>
    <w:rsid w:val="00805EB2"/>
    <w:rsid w:val="008107FD"/>
    <w:rsid w:val="00810A36"/>
    <w:rsid w:val="00810B33"/>
    <w:rsid w:val="00811E3C"/>
    <w:rsid w:val="0081477B"/>
    <w:rsid w:val="0081480D"/>
    <w:rsid w:val="0081518B"/>
    <w:rsid w:val="00816825"/>
    <w:rsid w:val="00817BC4"/>
    <w:rsid w:val="0082008B"/>
    <w:rsid w:val="00820662"/>
    <w:rsid w:val="00822ABB"/>
    <w:rsid w:val="00823E24"/>
    <w:rsid w:val="00824BB0"/>
    <w:rsid w:val="00825F19"/>
    <w:rsid w:val="008306C1"/>
    <w:rsid w:val="00830E37"/>
    <w:rsid w:val="00831073"/>
    <w:rsid w:val="00831179"/>
    <w:rsid w:val="0083171E"/>
    <w:rsid w:val="008317F2"/>
    <w:rsid w:val="0083219B"/>
    <w:rsid w:val="00833492"/>
    <w:rsid w:val="00833816"/>
    <w:rsid w:val="00835CA6"/>
    <w:rsid w:val="00836DF7"/>
    <w:rsid w:val="00840534"/>
    <w:rsid w:val="00840F83"/>
    <w:rsid w:val="00841DF2"/>
    <w:rsid w:val="00843548"/>
    <w:rsid w:val="00844CA0"/>
    <w:rsid w:val="008458DB"/>
    <w:rsid w:val="00845A83"/>
    <w:rsid w:val="00846EAF"/>
    <w:rsid w:val="0084759D"/>
    <w:rsid w:val="0084761C"/>
    <w:rsid w:val="00847A1D"/>
    <w:rsid w:val="00847DCC"/>
    <w:rsid w:val="00850032"/>
    <w:rsid w:val="008511BB"/>
    <w:rsid w:val="00854457"/>
    <w:rsid w:val="00854B5B"/>
    <w:rsid w:val="00854F8A"/>
    <w:rsid w:val="00855103"/>
    <w:rsid w:val="00855B51"/>
    <w:rsid w:val="0085641E"/>
    <w:rsid w:val="00856493"/>
    <w:rsid w:val="008602AD"/>
    <w:rsid w:val="008633C0"/>
    <w:rsid w:val="00864C4E"/>
    <w:rsid w:val="0086528A"/>
    <w:rsid w:val="008661E6"/>
    <w:rsid w:val="00866894"/>
    <w:rsid w:val="008700D8"/>
    <w:rsid w:val="00870F68"/>
    <w:rsid w:val="00872246"/>
    <w:rsid w:val="008728B5"/>
    <w:rsid w:val="00873E64"/>
    <w:rsid w:val="00874515"/>
    <w:rsid w:val="00875859"/>
    <w:rsid w:val="00876FF7"/>
    <w:rsid w:val="008805ED"/>
    <w:rsid w:val="00882460"/>
    <w:rsid w:val="008826AE"/>
    <w:rsid w:val="00883665"/>
    <w:rsid w:val="00883DA4"/>
    <w:rsid w:val="00883E03"/>
    <w:rsid w:val="00883F2E"/>
    <w:rsid w:val="008853E6"/>
    <w:rsid w:val="00885D70"/>
    <w:rsid w:val="008861C7"/>
    <w:rsid w:val="008900A8"/>
    <w:rsid w:val="0089012E"/>
    <w:rsid w:val="008922A5"/>
    <w:rsid w:val="00892458"/>
    <w:rsid w:val="00892A20"/>
    <w:rsid w:val="00892D76"/>
    <w:rsid w:val="00894675"/>
    <w:rsid w:val="008952D4"/>
    <w:rsid w:val="008A0256"/>
    <w:rsid w:val="008A0F52"/>
    <w:rsid w:val="008A145F"/>
    <w:rsid w:val="008A2B8F"/>
    <w:rsid w:val="008A2D69"/>
    <w:rsid w:val="008A4B23"/>
    <w:rsid w:val="008A55C6"/>
    <w:rsid w:val="008A5892"/>
    <w:rsid w:val="008A61CB"/>
    <w:rsid w:val="008A70CC"/>
    <w:rsid w:val="008A79FD"/>
    <w:rsid w:val="008B044E"/>
    <w:rsid w:val="008B0737"/>
    <w:rsid w:val="008B18F8"/>
    <w:rsid w:val="008B2A6D"/>
    <w:rsid w:val="008B2C29"/>
    <w:rsid w:val="008B4431"/>
    <w:rsid w:val="008B4EE5"/>
    <w:rsid w:val="008B516B"/>
    <w:rsid w:val="008B521D"/>
    <w:rsid w:val="008B67FE"/>
    <w:rsid w:val="008B6C26"/>
    <w:rsid w:val="008B7323"/>
    <w:rsid w:val="008B7B2E"/>
    <w:rsid w:val="008C091C"/>
    <w:rsid w:val="008C0939"/>
    <w:rsid w:val="008C1316"/>
    <w:rsid w:val="008C1B46"/>
    <w:rsid w:val="008C21F8"/>
    <w:rsid w:val="008C2FEC"/>
    <w:rsid w:val="008C394C"/>
    <w:rsid w:val="008C3D00"/>
    <w:rsid w:val="008C4439"/>
    <w:rsid w:val="008C45EA"/>
    <w:rsid w:val="008C586A"/>
    <w:rsid w:val="008C5979"/>
    <w:rsid w:val="008C5C6A"/>
    <w:rsid w:val="008C6493"/>
    <w:rsid w:val="008C6B86"/>
    <w:rsid w:val="008C76D4"/>
    <w:rsid w:val="008D1A0F"/>
    <w:rsid w:val="008D295A"/>
    <w:rsid w:val="008D3542"/>
    <w:rsid w:val="008D5A51"/>
    <w:rsid w:val="008D6F62"/>
    <w:rsid w:val="008D71D0"/>
    <w:rsid w:val="008D7259"/>
    <w:rsid w:val="008E014E"/>
    <w:rsid w:val="008E2190"/>
    <w:rsid w:val="008E23F3"/>
    <w:rsid w:val="008E3039"/>
    <w:rsid w:val="008E3392"/>
    <w:rsid w:val="008E383D"/>
    <w:rsid w:val="008E3E4A"/>
    <w:rsid w:val="008E4CA0"/>
    <w:rsid w:val="008E52FB"/>
    <w:rsid w:val="008E5950"/>
    <w:rsid w:val="008E59B1"/>
    <w:rsid w:val="008E5DA8"/>
    <w:rsid w:val="008E6C25"/>
    <w:rsid w:val="008E790B"/>
    <w:rsid w:val="008E7F8D"/>
    <w:rsid w:val="008F1D01"/>
    <w:rsid w:val="008F23B0"/>
    <w:rsid w:val="008F3AD4"/>
    <w:rsid w:val="008F436A"/>
    <w:rsid w:val="008F4752"/>
    <w:rsid w:val="008F4A28"/>
    <w:rsid w:val="008F5C94"/>
    <w:rsid w:val="008F675E"/>
    <w:rsid w:val="008F703E"/>
    <w:rsid w:val="008F789B"/>
    <w:rsid w:val="00900880"/>
    <w:rsid w:val="009028A5"/>
    <w:rsid w:val="00904E72"/>
    <w:rsid w:val="00905A6D"/>
    <w:rsid w:val="00905F11"/>
    <w:rsid w:val="009078EC"/>
    <w:rsid w:val="009079A2"/>
    <w:rsid w:val="00913268"/>
    <w:rsid w:val="00913CE8"/>
    <w:rsid w:val="009143E9"/>
    <w:rsid w:val="00914405"/>
    <w:rsid w:val="009144C8"/>
    <w:rsid w:val="00914DD8"/>
    <w:rsid w:val="00915188"/>
    <w:rsid w:val="009157C5"/>
    <w:rsid w:val="0091623B"/>
    <w:rsid w:val="0091669E"/>
    <w:rsid w:val="00922751"/>
    <w:rsid w:val="009232B0"/>
    <w:rsid w:val="009236B7"/>
    <w:rsid w:val="00924CEC"/>
    <w:rsid w:val="009253C9"/>
    <w:rsid w:val="00926619"/>
    <w:rsid w:val="009273C6"/>
    <w:rsid w:val="0092790D"/>
    <w:rsid w:val="00930510"/>
    <w:rsid w:val="009330E0"/>
    <w:rsid w:val="00933404"/>
    <w:rsid w:val="00933FDD"/>
    <w:rsid w:val="00935899"/>
    <w:rsid w:val="00937211"/>
    <w:rsid w:val="00937A7C"/>
    <w:rsid w:val="00940E37"/>
    <w:rsid w:val="00941016"/>
    <w:rsid w:val="009426C0"/>
    <w:rsid w:val="00943E51"/>
    <w:rsid w:val="00945FA7"/>
    <w:rsid w:val="0094658D"/>
    <w:rsid w:val="00946A90"/>
    <w:rsid w:val="00946F49"/>
    <w:rsid w:val="00947C4B"/>
    <w:rsid w:val="00950649"/>
    <w:rsid w:val="00950ECE"/>
    <w:rsid w:val="00951001"/>
    <w:rsid w:val="009515AD"/>
    <w:rsid w:val="00952BB6"/>
    <w:rsid w:val="0095478E"/>
    <w:rsid w:val="00955F75"/>
    <w:rsid w:val="009563A9"/>
    <w:rsid w:val="00956FF3"/>
    <w:rsid w:val="009574FA"/>
    <w:rsid w:val="00960D0D"/>
    <w:rsid w:val="0096232C"/>
    <w:rsid w:val="0096243A"/>
    <w:rsid w:val="009624B5"/>
    <w:rsid w:val="009626FD"/>
    <w:rsid w:val="00962BF8"/>
    <w:rsid w:val="00963C39"/>
    <w:rsid w:val="00964E05"/>
    <w:rsid w:val="00964F44"/>
    <w:rsid w:val="009654DC"/>
    <w:rsid w:val="0096592D"/>
    <w:rsid w:val="00965A24"/>
    <w:rsid w:val="0096620D"/>
    <w:rsid w:val="00972A53"/>
    <w:rsid w:val="0097324B"/>
    <w:rsid w:val="0097385E"/>
    <w:rsid w:val="009740D6"/>
    <w:rsid w:val="00974BFD"/>
    <w:rsid w:val="0097506E"/>
    <w:rsid w:val="009765A0"/>
    <w:rsid w:val="009775AC"/>
    <w:rsid w:val="0098028F"/>
    <w:rsid w:val="009802E3"/>
    <w:rsid w:val="0098133E"/>
    <w:rsid w:val="0098248A"/>
    <w:rsid w:val="00982D9C"/>
    <w:rsid w:val="009831D9"/>
    <w:rsid w:val="00983F10"/>
    <w:rsid w:val="00983F53"/>
    <w:rsid w:val="0098438E"/>
    <w:rsid w:val="009845B7"/>
    <w:rsid w:val="009845DC"/>
    <w:rsid w:val="00984B54"/>
    <w:rsid w:val="00984CEE"/>
    <w:rsid w:val="00984DF7"/>
    <w:rsid w:val="00986653"/>
    <w:rsid w:val="009871E8"/>
    <w:rsid w:val="009871FF"/>
    <w:rsid w:val="009900F3"/>
    <w:rsid w:val="00990121"/>
    <w:rsid w:val="00990529"/>
    <w:rsid w:val="009907A5"/>
    <w:rsid w:val="0099090A"/>
    <w:rsid w:val="009914AA"/>
    <w:rsid w:val="009914F0"/>
    <w:rsid w:val="009919B8"/>
    <w:rsid w:val="00992166"/>
    <w:rsid w:val="009926ED"/>
    <w:rsid w:val="009929BD"/>
    <w:rsid w:val="00993882"/>
    <w:rsid w:val="0099441D"/>
    <w:rsid w:val="00995697"/>
    <w:rsid w:val="009958DC"/>
    <w:rsid w:val="00995D40"/>
    <w:rsid w:val="00996078"/>
    <w:rsid w:val="00997287"/>
    <w:rsid w:val="00997A4C"/>
    <w:rsid w:val="009A056E"/>
    <w:rsid w:val="009A0A65"/>
    <w:rsid w:val="009A0F4F"/>
    <w:rsid w:val="009A15AC"/>
    <w:rsid w:val="009A2AA9"/>
    <w:rsid w:val="009A2D70"/>
    <w:rsid w:val="009A3602"/>
    <w:rsid w:val="009A42EF"/>
    <w:rsid w:val="009A62E5"/>
    <w:rsid w:val="009A69FE"/>
    <w:rsid w:val="009A6D99"/>
    <w:rsid w:val="009A7865"/>
    <w:rsid w:val="009A7E94"/>
    <w:rsid w:val="009B0D47"/>
    <w:rsid w:val="009B1E72"/>
    <w:rsid w:val="009B4DA7"/>
    <w:rsid w:val="009B5063"/>
    <w:rsid w:val="009B548D"/>
    <w:rsid w:val="009B58DB"/>
    <w:rsid w:val="009B6145"/>
    <w:rsid w:val="009B743E"/>
    <w:rsid w:val="009B782A"/>
    <w:rsid w:val="009B7ECE"/>
    <w:rsid w:val="009C0802"/>
    <w:rsid w:val="009C0A7E"/>
    <w:rsid w:val="009C43D7"/>
    <w:rsid w:val="009C52D3"/>
    <w:rsid w:val="009C62D5"/>
    <w:rsid w:val="009C673C"/>
    <w:rsid w:val="009C6FE8"/>
    <w:rsid w:val="009C750F"/>
    <w:rsid w:val="009C7F02"/>
    <w:rsid w:val="009C7FC7"/>
    <w:rsid w:val="009D0C8F"/>
    <w:rsid w:val="009D16F2"/>
    <w:rsid w:val="009D1E92"/>
    <w:rsid w:val="009D3DC6"/>
    <w:rsid w:val="009D4A32"/>
    <w:rsid w:val="009D5B21"/>
    <w:rsid w:val="009D6037"/>
    <w:rsid w:val="009D7E47"/>
    <w:rsid w:val="009E1053"/>
    <w:rsid w:val="009E2705"/>
    <w:rsid w:val="009E2C82"/>
    <w:rsid w:val="009E2F39"/>
    <w:rsid w:val="009E45B3"/>
    <w:rsid w:val="009E60DF"/>
    <w:rsid w:val="009E6709"/>
    <w:rsid w:val="009E6ED4"/>
    <w:rsid w:val="009E701F"/>
    <w:rsid w:val="009F0FDC"/>
    <w:rsid w:val="009F1C01"/>
    <w:rsid w:val="009F20E4"/>
    <w:rsid w:val="009F3E71"/>
    <w:rsid w:val="009F4487"/>
    <w:rsid w:val="009F4B2F"/>
    <w:rsid w:val="009F55AD"/>
    <w:rsid w:val="009F6B04"/>
    <w:rsid w:val="009F7484"/>
    <w:rsid w:val="009F7979"/>
    <w:rsid w:val="00A00ACF"/>
    <w:rsid w:val="00A00BA1"/>
    <w:rsid w:val="00A0125C"/>
    <w:rsid w:val="00A01EB9"/>
    <w:rsid w:val="00A01EEA"/>
    <w:rsid w:val="00A02040"/>
    <w:rsid w:val="00A0233F"/>
    <w:rsid w:val="00A0255B"/>
    <w:rsid w:val="00A02E7B"/>
    <w:rsid w:val="00A0302F"/>
    <w:rsid w:val="00A03A67"/>
    <w:rsid w:val="00A03BFE"/>
    <w:rsid w:val="00A0448E"/>
    <w:rsid w:val="00A044FF"/>
    <w:rsid w:val="00A060B6"/>
    <w:rsid w:val="00A06693"/>
    <w:rsid w:val="00A0752E"/>
    <w:rsid w:val="00A1169E"/>
    <w:rsid w:val="00A1211C"/>
    <w:rsid w:val="00A13A3E"/>
    <w:rsid w:val="00A142B7"/>
    <w:rsid w:val="00A14C7A"/>
    <w:rsid w:val="00A154BA"/>
    <w:rsid w:val="00A16650"/>
    <w:rsid w:val="00A17051"/>
    <w:rsid w:val="00A17810"/>
    <w:rsid w:val="00A21A16"/>
    <w:rsid w:val="00A2236A"/>
    <w:rsid w:val="00A23792"/>
    <w:rsid w:val="00A23ACC"/>
    <w:rsid w:val="00A243E9"/>
    <w:rsid w:val="00A24FFD"/>
    <w:rsid w:val="00A26DC7"/>
    <w:rsid w:val="00A30872"/>
    <w:rsid w:val="00A30E26"/>
    <w:rsid w:val="00A315F5"/>
    <w:rsid w:val="00A31BF3"/>
    <w:rsid w:val="00A3235B"/>
    <w:rsid w:val="00A33318"/>
    <w:rsid w:val="00A337E0"/>
    <w:rsid w:val="00A34C39"/>
    <w:rsid w:val="00A3613A"/>
    <w:rsid w:val="00A3680D"/>
    <w:rsid w:val="00A36920"/>
    <w:rsid w:val="00A37D54"/>
    <w:rsid w:val="00A37FB8"/>
    <w:rsid w:val="00A400D4"/>
    <w:rsid w:val="00A41824"/>
    <w:rsid w:val="00A41837"/>
    <w:rsid w:val="00A43B5C"/>
    <w:rsid w:val="00A43DE6"/>
    <w:rsid w:val="00A443AD"/>
    <w:rsid w:val="00A44620"/>
    <w:rsid w:val="00A452D4"/>
    <w:rsid w:val="00A46340"/>
    <w:rsid w:val="00A46E21"/>
    <w:rsid w:val="00A51A23"/>
    <w:rsid w:val="00A51BE7"/>
    <w:rsid w:val="00A52B68"/>
    <w:rsid w:val="00A53FB1"/>
    <w:rsid w:val="00A548A0"/>
    <w:rsid w:val="00A56BA4"/>
    <w:rsid w:val="00A60275"/>
    <w:rsid w:val="00A6079A"/>
    <w:rsid w:val="00A60BA1"/>
    <w:rsid w:val="00A6291B"/>
    <w:rsid w:val="00A63CBE"/>
    <w:rsid w:val="00A6434E"/>
    <w:rsid w:val="00A646E3"/>
    <w:rsid w:val="00A67603"/>
    <w:rsid w:val="00A7197D"/>
    <w:rsid w:val="00A72F96"/>
    <w:rsid w:val="00A73A2D"/>
    <w:rsid w:val="00A7470A"/>
    <w:rsid w:val="00A7585B"/>
    <w:rsid w:val="00A75BFF"/>
    <w:rsid w:val="00A777A0"/>
    <w:rsid w:val="00A80ABB"/>
    <w:rsid w:val="00A80C0D"/>
    <w:rsid w:val="00A81C48"/>
    <w:rsid w:val="00A823C8"/>
    <w:rsid w:val="00A849E7"/>
    <w:rsid w:val="00A85369"/>
    <w:rsid w:val="00A85CF6"/>
    <w:rsid w:val="00A869D6"/>
    <w:rsid w:val="00A8722C"/>
    <w:rsid w:val="00A91507"/>
    <w:rsid w:val="00A9186E"/>
    <w:rsid w:val="00A91D81"/>
    <w:rsid w:val="00A92246"/>
    <w:rsid w:val="00A92F03"/>
    <w:rsid w:val="00A93CD5"/>
    <w:rsid w:val="00A94C57"/>
    <w:rsid w:val="00A95800"/>
    <w:rsid w:val="00A964C7"/>
    <w:rsid w:val="00A965D7"/>
    <w:rsid w:val="00A9687E"/>
    <w:rsid w:val="00A96DD1"/>
    <w:rsid w:val="00A97F1B"/>
    <w:rsid w:val="00A97F5C"/>
    <w:rsid w:val="00AA019C"/>
    <w:rsid w:val="00AA0C94"/>
    <w:rsid w:val="00AA2492"/>
    <w:rsid w:val="00AA4BDA"/>
    <w:rsid w:val="00AA565E"/>
    <w:rsid w:val="00AA5FFB"/>
    <w:rsid w:val="00AA7627"/>
    <w:rsid w:val="00AA76D5"/>
    <w:rsid w:val="00AA7FB4"/>
    <w:rsid w:val="00AB0011"/>
    <w:rsid w:val="00AB0EA2"/>
    <w:rsid w:val="00AB2607"/>
    <w:rsid w:val="00AB267C"/>
    <w:rsid w:val="00AB2EB0"/>
    <w:rsid w:val="00AB2FA4"/>
    <w:rsid w:val="00AB3BFF"/>
    <w:rsid w:val="00AB521F"/>
    <w:rsid w:val="00AB5CD5"/>
    <w:rsid w:val="00AB68E9"/>
    <w:rsid w:val="00AC0FA3"/>
    <w:rsid w:val="00AC1574"/>
    <w:rsid w:val="00AC29A0"/>
    <w:rsid w:val="00AC2A71"/>
    <w:rsid w:val="00AC2BF2"/>
    <w:rsid w:val="00AC39FF"/>
    <w:rsid w:val="00AC3A61"/>
    <w:rsid w:val="00AC3AD7"/>
    <w:rsid w:val="00AC46B7"/>
    <w:rsid w:val="00AC49D5"/>
    <w:rsid w:val="00AC516E"/>
    <w:rsid w:val="00AC5607"/>
    <w:rsid w:val="00AC5E35"/>
    <w:rsid w:val="00AC692F"/>
    <w:rsid w:val="00AC7228"/>
    <w:rsid w:val="00AC79C8"/>
    <w:rsid w:val="00AD3EE1"/>
    <w:rsid w:val="00AD3F5D"/>
    <w:rsid w:val="00AD44D3"/>
    <w:rsid w:val="00AD4946"/>
    <w:rsid w:val="00AD5223"/>
    <w:rsid w:val="00AD5992"/>
    <w:rsid w:val="00AD5AD9"/>
    <w:rsid w:val="00AE178A"/>
    <w:rsid w:val="00AE1DD7"/>
    <w:rsid w:val="00AE4069"/>
    <w:rsid w:val="00AE4ED6"/>
    <w:rsid w:val="00AE5233"/>
    <w:rsid w:val="00AE578B"/>
    <w:rsid w:val="00AE6AD7"/>
    <w:rsid w:val="00AE7AEB"/>
    <w:rsid w:val="00AE7DBC"/>
    <w:rsid w:val="00AF18B7"/>
    <w:rsid w:val="00AF1A63"/>
    <w:rsid w:val="00AF1C7F"/>
    <w:rsid w:val="00AF3D77"/>
    <w:rsid w:val="00AF4A8A"/>
    <w:rsid w:val="00AF4BDE"/>
    <w:rsid w:val="00AF6AFD"/>
    <w:rsid w:val="00AF71E8"/>
    <w:rsid w:val="00AF7215"/>
    <w:rsid w:val="00B00FA0"/>
    <w:rsid w:val="00B01950"/>
    <w:rsid w:val="00B023EE"/>
    <w:rsid w:val="00B02E49"/>
    <w:rsid w:val="00B03784"/>
    <w:rsid w:val="00B03A87"/>
    <w:rsid w:val="00B06101"/>
    <w:rsid w:val="00B067C1"/>
    <w:rsid w:val="00B07731"/>
    <w:rsid w:val="00B10A3C"/>
    <w:rsid w:val="00B10C4A"/>
    <w:rsid w:val="00B119DE"/>
    <w:rsid w:val="00B11B1E"/>
    <w:rsid w:val="00B12EA7"/>
    <w:rsid w:val="00B15197"/>
    <w:rsid w:val="00B15336"/>
    <w:rsid w:val="00B15F07"/>
    <w:rsid w:val="00B17068"/>
    <w:rsid w:val="00B2009F"/>
    <w:rsid w:val="00B20343"/>
    <w:rsid w:val="00B2077E"/>
    <w:rsid w:val="00B21398"/>
    <w:rsid w:val="00B22379"/>
    <w:rsid w:val="00B223F6"/>
    <w:rsid w:val="00B22EB6"/>
    <w:rsid w:val="00B23FEE"/>
    <w:rsid w:val="00B2410D"/>
    <w:rsid w:val="00B2563A"/>
    <w:rsid w:val="00B25CBC"/>
    <w:rsid w:val="00B30DE6"/>
    <w:rsid w:val="00B31922"/>
    <w:rsid w:val="00B320DF"/>
    <w:rsid w:val="00B32D84"/>
    <w:rsid w:val="00B33890"/>
    <w:rsid w:val="00B349FD"/>
    <w:rsid w:val="00B35B90"/>
    <w:rsid w:val="00B366C9"/>
    <w:rsid w:val="00B36AE3"/>
    <w:rsid w:val="00B37471"/>
    <w:rsid w:val="00B4040C"/>
    <w:rsid w:val="00B4067D"/>
    <w:rsid w:val="00B40B58"/>
    <w:rsid w:val="00B42003"/>
    <w:rsid w:val="00B42C4B"/>
    <w:rsid w:val="00B43598"/>
    <w:rsid w:val="00B43F1F"/>
    <w:rsid w:val="00B45449"/>
    <w:rsid w:val="00B45498"/>
    <w:rsid w:val="00B4582A"/>
    <w:rsid w:val="00B45A03"/>
    <w:rsid w:val="00B527BC"/>
    <w:rsid w:val="00B5292A"/>
    <w:rsid w:val="00B52D5A"/>
    <w:rsid w:val="00B5372C"/>
    <w:rsid w:val="00B538D9"/>
    <w:rsid w:val="00B54525"/>
    <w:rsid w:val="00B54D81"/>
    <w:rsid w:val="00B552C0"/>
    <w:rsid w:val="00B55AFA"/>
    <w:rsid w:val="00B5604D"/>
    <w:rsid w:val="00B570DF"/>
    <w:rsid w:val="00B61123"/>
    <w:rsid w:val="00B61F46"/>
    <w:rsid w:val="00B62E06"/>
    <w:rsid w:val="00B63BAB"/>
    <w:rsid w:val="00B640E0"/>
    <w:rsid w:val="00B6551A"/>
    <w:rsid w:val="00B65B1B"/>
    <w:rsid w:val="00B65FCD"/>
    <w:rsid w:val="00B66147"/>
    <w:rsid w:val="00B6750D"/>
    <w:rsid w:val="00B675AF"/>
    <w:rsid w:val="00B67B6C"/>
    <w:rsid w:val="00B70473"/>
    <w:rsid w:val="00B7066F"/>
    <w:rsid w:val="00B70E68"/>
    <w:rsid w:val="00B71744"/>
    <w:rsid w:val="00B7287F"/>
    <w:rsid w:val="00B72C73"/>
    <w:rsid w:val="00B741F3"/>
    <w:rsid w:val="00B742D4"/>
    <w:rsid w:val="00B74585"/>
    <w:rsid w:val="00B74A78"/>
    <w:rsid w:val="00B74D0D"/>
    <w:rsid w:val="00B751A5"/>
    <w:rsid w:val="00B757CC"/>
    <w:rsid w:val="00B75A1C"/>
    <w:rsid w:val="00B76CEE"/>
    <w:rsid w:val="00B76FDE"/>
    <w:rsid w:val="00B77135"/>
    <w:rsid w:val="00B77373"/>
    <w:rsid w:val="00B77A03"/>
    <w:rsid w:val="00B77BD4"/>
    <w:rsid w:val="00B8034D"/>
    <w:rsid w:val="00B8062E"/>
    <w:rsid w:val="00B831DC"/>
    <w:rsid w:val="00B831DF"/>
    <w:rsid w:val="00B83467"/>
    <w:rsid w:val="00B83F5D"/>
    <w:rsid w:val="00B8400C"/>
    <w:rsid w:val="00B84391"/>
    <w:rsid w:val="00B84B75"/>
    <w:rsid w:val="00B85ADB"/>
    <w:rsid w:val="00B866E3"/>
    <w:rsid w:val="00B86A5E"/>
    <w:rsid w:val="00B87D8E"/>
    <w:rsid w:val="00B919E0"/>
    <w:rsid w:val="00B91A47"/>
    <w:rsid w:val="00B9318B"/>
    <w:rsid w:val="00B93B6E"/>
    <w:rsid w:val="00B941DB"/>
    <w:rsid w:val="00B946DF"/>
    <w:rsid w:val="00B94A63"/>
    <w:rsid w:val="00B94F17"/>
    <w:rsid w:val="00B96396"/>
    <w:rsid w:val="00B966D2"/>
    <w:rsid w:val="00B97FBC"/>
    <w:rsid w:val="00BA0EA1"/>
    <w:rsid w:val="00BA36B1"/>
    <w:rsid w:val="00BA375D"/>
    <w:rsid w:val="00BA3B4D"/>
    <w:rsid w:val="00BA3DB6"/>
    <w:rsid w:val="00BA3DB9"/>
    <w:rsid w:val="00BA4BCF"/>
    <w:rsid w:val="00BA62A9"/>
    <w:rsid w:val="00BA72E0"/>
    <w:rsid w:val="00BA7425"/>
    <w:rsid w:val="00BA75AE"/>
    <w:rsid w:val="00BA785A"/>
    <w:rsid w:val="00BA7BBA"/>
    <w:rsid w:val="00BB187F"/>
    <w:rsid w:val="00BB1AA6"/>
    <w:rsid w:val="00BB306E"/>
    <w:rsid w:val="00BB5AE1"/>
    <w:rsid w:val="00BB5C42"/>
    <w:rsid w:val="00BB6401"/>
    <w:rsid w:val="00BB7613"/>
    <w:rsid w:val="00BB7B00"/>
    <w:rsid w:val="00BC058E"/>
    <w:rsid w:val="00BC0971"/>
    <w:rsid w:val="00BC2737"/>
    <w:rsid w:val="00BC2CC4"/>
    <w:rsid w:val="00BC3223"/>
    <w:rsid w:val="00BC390F"/>
    <w:rsid w:val="00BC392E"/>
    <w:rsid w:val="00BC3D87"/>
    <w:rsid w:val="00BC4A1B"/>
    <w:rsid w:val="00BC7CCC"/>
    <w:rsid w:val="00BD01EF"/>
    <w:rsid w:val="00BD0994"/>
    <w:rsid w:val="00BD0A1F"/>
    <w:rsid w:val="00BD1239"/>
    <w:rsid w:val="00BD2BC4"/>
    <w:rsid w:val="00BD4889"/>
    <w:rsid w:val="00BD4EB2"/>
    <w:rsid w:val="00BD4F67"/>
    <w:rsid w:val="00BD4F9D"/>
    <w:rsid w:val="00BD6660"/>
    <w:rsid w:val="00BD7C21"/>
    <w:rsid w:val="00BD7F02"/>
    <w:rsid w:val="00BE038E"/>
    <w:rsid w:val="00BE0E8B"/>
    <w:rsid w:val="00BE3978"/>
    <w:rsid w:val="00BE3BA2"/>
    <w:rsid w:val="00BE4870"/>
    <w:rsid w:val="00BE53D9"/>
    <w:rsid w:val="00BE5426"/>
    <w:rsid w:val="00BE6722"/>
    <w:rsid w:val="00BE69BF"/>
    <w:rsid w:val="00BE6CA7"/>
    <w:rsid w:val="00BE7BDF"/>
    <w:rsid w:val="00BF0684"/>
    <w:rsid w:val="00BF1B90"/>
    <w:rsid w:val="00BF3E04"/>
    <w:rsid w:val="00BF4A9D"/>
    <w:rsid w:val="00BF4EFE"/>
    <w:rsid w:val="00BF5288"/>
    <w:rsid w:val="00C00099"/>
    <w:rsid w:val="00C002FE"/>
    <w:rsid w:val="00C01C78"/>
    <w:rsid w:val="00C0422E"/>
    <w:rsid w:val="00C05233"/>
    <w:rsid w:val="00C05395"/>
    <w:rsid w:val="00C0705F"/>
    <w:rsid w:val="00C07290"/>
    <w:rsid w:val="00C1085F"/>
    <w:rsid w:val="00C11A57"/>
    <w:rsid w:val="00C11BCA"/>
    <w:rsid w:val="00C13B3A"/>
    <w:rsid w:val="00C14DD2"/>
    <w:rsid w:val="00C15B2D"/>
    <w:rsid w:val="00C17010"/>
    <w:rsid w:val="00C22DCA"/>
    <w:rsid w:val="00C24E97"/>
    <w:rsid w:val="00C254FB"/>
    <w:rsid w:val="00C30A58"/>
    <w:rsid w:val="00C3117A"/>
    <w:rsid w:val="00C316A3"/>
    <w:rsid w:val="00C336F4"/>
    <w:rsid w:val="00C33E2E"/>
    <w:rsid w:val="00C3449D"/>
    <w:rsid w:val="00C34BD2"/>
    <w:rsid w:val="00C35228"/>
    <w:rsid w:val="00C354F2"/>
    <w:rsid w:val="00C35CE3"/>
    <w:rsid w:val="00C369DF"/>
    <w:rsid w:val="00C37249"/>
    <w:rsid w:val="00C37276"/>
    <w:rsid w:val="00C37A67"/>
    <w:rsid w:val="00C37B07"/>
    <w:rsid w:val="00C4145C"/>
    <w:rsid w:val="00C43F21"/>
    <w:rsid w:val="00C444AB"/>
    <w:rsid w:val="00C44E99"/>
    <w:rsid w:val="00C4526B"/>
    <w:rsid w:val="00C456FB"/>
    <w:rsid w:val="00C508B0"/>
    <w:rsid w:val="00C50D23"/>
    <w:rsid w:val="00C50EA4"/>
    <w:rsid w:val="00C5160A"/>
    <w:rsid w:val="00C52A95"/>
    <w:rsid w:val="00C52AD3"/>
    <w:rsid w:val="00C5365D"/>
    <w:rsid w:val="00C53A66"/>
    <w:rsid w:val="00C53B69"/>
    <w:rsid w:val="00C53C5A"/>
    <w:rsid w:val="00C547D0"/>
    <w:rsid w:val="00C54DBC"/>
    <w:rsid w:val="00C55898"/>
    <w:rsid w:val="00C55B7B"/>
    <w:rsid w:val="00C5617F"/>
    <w:rsid w:val="00C56E6F"/>
    <w:rsid w:val="00C56EAB"/>
    <w:rsid w:val="00C56FFD"/>
    <w:rsid w:val="00C57426"/>
    <w:rsid w:val="00C60EB3"/>
    <w:rsid w:val="00C614D5"/>
    <w:rsid w:val="00C61B54"/>
    <w:rsid w:val="00C61D31"/>
    <w:rsid w:val="00C66730"/>
    <w:rsid w:val="00C66C75"/>
    <w:rsid w:val="00C66D10"/>
    <w:rsid w:val="00C670EA"/>
    <w:rsid w:val="00C706E0"/>
    <w:rsid w:val="00C70A85"/>
    <w:rsid w:val="00C70FC3"/>
    <w:rsid w:val="00C70FD3"/>
    <w:rsid w:val="00C73880"/>
    <w:rsid w:val="00C73B47"/>
    <w:rsid w:val="00C74392"/>
    <w:rsid w:val="00C74F23"/>
    <w:rsid w:val="00C75A56"/>
    <w:rsid w:val="00C7676F"/>
    <w:rsid w:val="00C80592"/>
    <w:rsid w:val="00C805E9"/>
    <w:rsid w:val="00C807FE"/>
    <w:rsid w:val="00C809C5"/>
    <w:rsid w:val="00C80D52"/>
    <w:rsid w:val="00C81C04"/>
    <w:rsid w:val="00C82E84"/>
    <w:rsid w:val="00C846A6"/>
    <w:rsid w:val="00C84E1B"/>
    <w:rsid w:val="00C86353"/>
    <w:rsid w:val="00C86476"/>
    <w:rsid w:val="00C87333"/>
    <w:rsid w:val="00C87669"/>
    <w:rsid w:val="00C87BCA"/>
    <w:rsid w:val="00C905F5"/>
    <w:rsid w:val="00C92ABD"/>
    <w:rsid w:val="00C9444D"/>
    <w:rsid w:val="00C94682"/>
    <w:rsid w:val="00C950D4"/>
    <w:rsid w:val="00C95B5F"/>
    <w:rsid w:val="00C95BDC"/>
    <w:rsid w:val="00C976FA"/>
    <w:rsid w:val="00C97C23"/>
    <w:rsid w:val="00CA0AD0"/>
    <w:rsid w:val="00CA0E57"/>
    <w:rsid w:val="00CA180E"/>
    <w:rsid w:val="00CA32E1"/>
    <w:rsid w:val="00CA57C8"/>
    <w:rsid w:val="00CA7824"/>
    <w:rsid w:val="00CB019F"/>
    <w:rsid w:val="00CB0774"/>
    <w:rsid w:val="00CB3614"/>
    <w:rsid w:val="00CB42DC"/>
    <w:rsid w:val="00CB4968"/>
    <w:rsid w:val="00CB4FEA"/>
    <w:rsid w:val="00CB4FF3"/>
    <w:rsid w:val="00CB6F4E"/>
    <w:rsid w:val="00CC1941"/>
    <w:rsid w:val="00CC42DD"/>
    <w:rsid w:val="00CC5FF8"/>
    <w:rsid w:val="00CC64BB"/>
    <w:rsid w:val="00CC6F12"/>
    <w:rsid w:val="00CD007C"/>
    <w:rsid w:val="00CD0535"/>
    <w:rsid w:val="00CD0A15"/>
    <w:rsid w:val="00CD1539"/>
    <w:rsid w:val="00CD20DC"/>
    <w:rsid w:val="00CD251F"/>
    <w:rsid w:val="00CD2CF8"/>
    <w:rsid w:val="00CD2FE9"/>
    <w:rsid w:val="00CD31A6"/>
    <w:rsid w:val="00CD3377"/>
    <w:rsid w:val="00CD3774"/>
    <w:rsid w:val="00CD3C21"/>
    <w:rsid w:val="00CD3E6F"/>
    <w:rsid w:val="00CD41C5"/>
    <w:rsid w:val="00CD5FC7"/>
    <w:rsid w:val="00CD6900"/>
    <w:rsid w:val="00CE047D"/>
    <w:rsid w:val="00CE0A8C"/>
    <w:rsid w:val="00CE0D51"/>
    <w:rsid w:val="00CE1778"/>
    <w:rsid w:val="00CE21A1"/>
    <w:rsid w:val="00CE3884"/>
    <w:rsid w:val="00CE3AE5"/>
    <w:rsid w:val="00CE4E10"/>
    <w:rsid w:val="00CE5339"/>
    <w:rsid w:val="00CE58DE"/>
    <w:rsid w:val="00CE5A7A"/>
    <w:rsid w:val="00CE612B"/>
    <w:rsid w:val="00CE63C4"/>
    <w:rsid w:val="00CE6B7E"/>
    <w:rsid w:val="00CE769A"/>
    <w:rsid w:val="00CE76EA"/>
    <w:rsid w:val="00CF00E4"/>
    <w:rsid w:val="00CF03F8"/>
    <w:rsid w:val="00CF049C"/>
    <w:rsid w:val="00CF07F2"/>
    <w:rsid w:val="00CF1B6C"/>
    <w:rsid w:val="00CF2482"/>
    <w:rsid w:val="00CF2A13"/>
    <w:rsid w:val="00CF4AD6"/>
    <w:rsid w:val="00CF69C8"/>
    <w:rsid w:val="00CF7A99"/>
    <w:rsid w:val="00CF7B88"/>
    <w:rsid w:val="00CF7C29"/>
    <w:rsid w:val="00D002F7"/>
    <w:rsid w:val="00D0168E"/>
    <w:rsid w:val="00D01B85"/>
    <w:rsid w:val="00D01CAF"/>
    <w:rsid w:val="00D022DC"/>
    <w:rsid w:val="00D038B6"/>
    <w:rsid w:val="00D03B84"/>
    <w:rsid w:val="00D041A1"/>
    <w:rsid w:val="00D04B70"/>
    <w:rsid w:val="00D04CB7"/>
    <w:rsid w:val="00D050D1"/>
    <w:rsid w:val="00D05155"/>
    <w:rsid w:val="00D06383"/>
    <w:rsid w:val="00D0656B"/>
    <w:rsid w:val="00D06EC2"/>
    <w:rsid w:val="00D06FCE"/>
    <w:rsid w:val="00D105E7"/>
    <w:rsid w:val="00D10CF5"/>
    <w:rsid w:val="00D12AE3"/>
    <w:rsid w:val="00D135D4"/>
    <w:rsid w:val="00D14FE1"/>
    <w:rsid w:val="00D15772"/>
    <w:rsid w:val="00D16396"/>
    <w:rsid w:val="00D16BB7"/>
    <w:rsid w:val="00D1754B"/>
    <w:rsid w:val="00D17695"/>
    <w:rsid w:val="00D179D3"/>
    <w:rsid w:val="00D17ACB"/>
    <w:rsid w:val="00D17C10"/>
    <w:rsid w:val="00D17E79"/>
    <w:rsid w:val="00D202D9"/>
    <w:rsid w:val="00D208F3"/>
    <w:rsid w:val="00D215AB"/>
    <w:rsid w:val="00D21749"/>
    <w:rsid w:val="00D21EAC"/>
    <w:rsid w:val="00D22956"/>
    <w:rsid w:val="00D2388A"/>
    <w:rsid w:val="00D24E5B"/>
    <w:rsid w:val="00D25C72"/>
    <w:rsid w:val="00D25DB8"/>
    <w:rsid w:val="00D25DC0"/>
    <w:rsid w:val="00D263A4"/>
    <w:rsid w:val="00D26584"/>
    <w:rsid w:val="00D265CB"/>
    <w:rsid w:val="00D30C58"/>
    <w:rsid w:val="00D3234A"/>
    <w:rsid w:val="00D3337F"/>
    <w:rsid w:val="00D33511"/>
    <w:rsid w:val="00D359BE"/>
    <w:rsid w:val="00D35B02"/>
    <w:rsid w:val="00D373D4"/>
    <w:rsid w:val="00D3793D"/>
    <w:rsid w:val="00D379A6"/>
    <w:rsid w:val="00D37B9B"/>
    <w:rsid w:val="00D41003"/>
    <w:rsid w:val="00D41DD0"/>
    <w:rsid w:val="00D43E5B"/>
    <w:rsid w:val="00D44469"/>
    <w:rsid w:val="00D44608"/>
    <w:rsid w:val="00D454E7"/>
    <w:rsid w:val="00D4585E"/>
    <w:rsid w:val="00D4731E"/>
    <w:rsid w:val="00D4771E"/>
    <w:rsid w:val="00D47FEA"/>
    <w:rsid w:val="00D50AC4"/>
    <w:rsid w:val="00D52929"/>
    <w:rsid w:val="00D552F7"/>
    <w:rsid w:val="00D55D0D"/>
    <w:rsid w:val="00D5615C"/>
    <w:rsid w:val="00D56755"/>
    <w:rsid w:val="00D56A44"/>
    <w:rsid w:val="00D5767B"/>
    <w:rsid w:val="00D57965"/>
    <w:rsid w:val="00D57A8E"/>
    <w:rsid w:val="00D57B9C"/>
    <w:rsid w:val="00D57DC9"/>
    <w:rsid w:val="00D60193"/>
    <w:rsid w:val="00D6088B"/>
    <w:rsid w:val="00D61A53"/>
    <w:rsid w:val="00D63C37"/>
    <w:rsid w:val="00D64A71"/>
    <w:rsid w:val="00D66155"/>
    <w:rsid w:val="00D6662A"/>
    <w:rsid w:val="00D6749D"/>
    <w:rsid w:val="00D70C2C"/>
    <w:rsid w:val="00D70DE7"/>
    <w:rsid w:val="00D71297"/>
    <w:rsid w:val="00D72EFD"/>
    <w:rsid w:val="00D73D5F"/>
    <w:rsid w:val="00D741A1"/>
    <w:rsid w:val="00D744D9"/>
    <w:rsid w:val="00D760BE"/>
    <w:rsid w:val="00D76CA5"/>
    <w:rsid w:val="00D7751A"/>
    <w:rsid w:val="00D8019D"/>
    <w:rsid w:val="00D809AE"/>
    <w:rsid w:val="00D82365"/>
    <w:rsid w:val="00D847B6"/>
    <w:rsid w:val="00D85673"/>
    <w:rsid w:val="00D858E2"/>
    <w:rsid w:val="00D859BE"/>
    <w:rsid w:val="00D86589"/>
    <w:rsid w:val="00D86734"/>
    <w:rsid w:val="00D869D4"/>
    <w:rsid w:val="00D86D36"/>
    <w:rsid w:val="00D87B95"/>
    <w:rsid w:val="00D87CD9"/>
    <w:rsid w:val="00D91D84"/>
    <w:rsid w:val="00D93307"/>
    <w:rsid w:val="00D93EC1"/>
    <w:rsid w:val="00D93EC6"/>
    <w:rsid w:val="00D95008"/>
    <w:rsid w:val="00D95164"/>
    <w:rsid w:val="00D95665"/>
    <w:rsid w:val="00D96DFE"/>
    <w:rsid w:val="00DA2E98"/>
    <w:rsid w:val="00DA32D3"/>
    <w:rsid w:val="00DA4935"/>
    <w:rsid w:val="00DA4FD5"/>
    <w:rsid w:val="00DA4FF8"/>
    <w:rsid w:val="00DA55FF"/>
    <w:rsid w:val="00DA5854"/>
    <w:rsid w:val="00DA5CD5"/>
    <w:rsid w:val="00DA6578"/>
    <w:rsid w:val="00DA6830"/>
    <w:rsid w:val="00DA6E4D"/>
    <w:rsid w:val="00DA7667"/>
    <w:rsid w:val="00DB078D"/>
    <w:rsid w:val="00DB09C6"/>
    <w:rsid w:val="00DB17DC"/>
    <w:rsid w:val="00DB1DB1"/>
    <w:rsid w:val="00DB1E25"/>
    <w:rsid w:val="00DB35FB"/>
    <w:rsid w:val="00DB4B1F"/>
    <w:rsid w:val="00DB4C59"/>
    <w:rsid w:val="00DB5758"/>
    <w:rsid w:val="00DB5A42"/>
    <w:rsid w:val="00DC167A"/>
    <w:rsid w:val="00DC18B8"/>
    <w:rsid w:val="00DC2413"/>
    <w:rsid w:val="00DC2A27"/>
    <w:rsid w:val="00DC3393"/>
    <w:rsid w:val="00DC35DA"/>
    <w:rsid w:val="00DC3AEE"/>
    <w:rsid w:val="00DC46BF"/>
    <w:rsid w:val="00DD0BF2"/>
    <w:rsid w:val="00DD1833"/>
    <w:rsid w:val="00DD2773"/>
    <w:rsid w:val="00DD358E"/>
    <w:rsid w:val="00DD3EE2"/>
    <w:rsid w:val="00DD522F"/>
    <w:rsid w:val="00DD5C1B"/>
    <w:rsid w:val="00DD5FAA"/>
    <w:rsid w:val="00DD66FC"/>
    <w:rsid w:val="00DD6773"/>
    <w:rsid w:val="00DD6832"/>
    <w:rsid w:val="00DE3E09"/>
    <w:rsid w:val="00DE3F2E"/>
    <w:rsid w:val="00DE4719"/>
    <w:rsid w:val="00DE48FE"/>
    <w:rsid w:val="00DE6C6D"/>
    <w:rsid w:val="00DF1003"/>
    <w:rsid w:val="00DF120E"/>
    <w:rsid w:val="00DF158C"/>
    <w:rsid w:val="00DF2D0E"/>
    <w:rsid w:val="00DF43B0"/>
    <w:rsid w:val="00DF4810"/>
    <w:rsid w:val="00DF4A5D"/>
    <w:rsid w:val="00DF57F2"/>
    <w:rsid w:val="00DF5CD1"/>
    <w:rsid w:val="00DF5F67"/>
    <w:rsid w:val="00DF6E4B"/>
    <w:rsid w:val="00DF714E"/>
    <w:rsid w:val="00DF7975"/>
    <w:rsid w:val="00E00E59"/>
    <w:rsid w:val="00E0113C"/>
    <w:rsid w:val="00E0260E"/>
    <w:rsid w:val="00E02D7A"/>
    <w:rsid w:val="00E031CC"/>
    <w:rsid w:val="00E0521C"/>
    <w:rsid w:val="00E05669"/>
    <w:rsid w:val="00E0587C"/>
    <w:rsid w:val="00E05AC2"/>
    <w:rsid w:val="00E06315"/>
    <w:rsid w:val="00E06BA0"/>
    <w:rsid w:val="00E07AA9"/>
    <w:rsid w:val="00E07E47"/>
    <w:rsid w:val="00E10264"/>
    <w:rsid w:val="00E10AE5"/>
    <w:rsid w:val="00E11165"/>
    <w:rsid w:val="00E11D34"/>
    <w:rsid w:val="00E12B4C"/>
    <w:rsid w:val="00E12F48"/>
    <w:rsid w:val="00E133B2"/>
    <w:rsid w:val="00E134AE"/>
    <w:rsid w:val="00E16C42"/>
    <w:rsid w:val="00E178A5"/>
    <w:rsid w:val="00E21235"/>
    <w:rsid w:val="00E2161A"/>
    <w:rsid w:val="00E2162E"/>
    <w:rsid w:val="00E21CAB"/>
    <w:rsid w:val="00E21EE1"/>
    <w:rsid w:val="00E22067"/>
    <w:rsid w:val="00E221FD"/>
    <w:rsid w:val="00E229A8"/>
    <w:rsid w:val="00E22C08"/>
    <w:rsid w:val="00E22E8A"/>
    <w:rsid w:val="00E22F07"/>
    <w:rsid w:val="00E23A69"/>
    <w:rsid w:val="00E24D25"/>
    <w:rsid w:val="00E250B6"/>
    <w:rsid w:val="00E25887"/>
    <w:rsid w:val="00E25EE6"/>
    <w:rsid w:val="00E260DF"/>
    <w:rsid w:val="00E2689E"/>
    <w:rsid w:val="00E26E50"/>
    <w:rsid w:val="00E2780F"/>
    <w:rsid w:val="00E27D4E"/>
    <w:rsid w:val="00E30C11"/>
    <w:rsid w:val="00E31C8D"/>
    <w:rsid w:val="00E31EEF"/>
    <w:rsid w:val="00E3316D"/>
    <w:rsid w:val="00E34ECE"/>
    <w:rsid w:val="00E35324"/>
    <w:rsid w:val="00E36BF3"/>
    <w:rsid w:val="00E3778F"/>
    <w:rsid w:val="00E40520"/>
    <w:rsid w:val="00E40E35"/>
    <w:rsid w:val="00E42D2D"/>
    <w:rsid w:val="00E42E2A"/>
    <w:rsid w:val="00E42EE8"/>
    <w:rsid w:val="00E43052"/>
    <w:rsid w:val="00E43395"/>
    <w:rsid w:val="00E434C1"/>
    <w:rsid w:val="00E43B32"/>
    <w:rsid w:val="00E43F6E"/>
    <w:rsid w:val="00E4470C"/>
    <w:rsid w:val="00E44EC1"/>
    <w:rsid w:val="00E46664"/>
    <w:rsid w:val="00E474B2"/>
    <w:rsid w:val="00E47D9E"/>
    <w:rsid w:val="00E50C28"/>
    <w:rsid w:val="00E51BD0"/>
    <w:rsid w:val="00E5318B"/>
    <w:rsid w:val="00E53710"/>
    <w:rsid w:val="00E56635"/>
    <w:rsid w:val="00E575E6"/>
    <w:rsid w:val="00E57DFF"/>
    <w:rsid w:val="00E60A9B"/>
    <w:rsid w:val="00E611A5"/>
    <w:rsid w:val="00E61376"/>
    <w:rsid w:val="00E61D60"/>
    <w:rsid w:val="00E627C5"/>
    <w:rsid w:val="00E634D6"/>
    <w:rsid w:val="00E63AD2"/>
    <w:rsid w:val="00E6430D"/>
    <w:rsid w:val="00E64356"/>
    <w:rsid w:val="00E64A54"/>
    <w:rsid w:val="00E652B8"/>
    <w:rsid w:val="00E66BC3"/>
    <w:rsid w:val="00E6735B"/>
    <w:rsid w:val="00E67FA0"/>
    <w:rsid w:val="00E709CB"/>
    <w:rsid w:val="00E71160"/>
    <w:rsid w:val="00E718DD"/>
    <w:rsid w:val="00E71B90"/>
    <w:rsid w:val="00E731B9"/>
    <w:rsid w:val="00E7413C"/>
    <w:rsid w:val="00E7467B"/>
    <w:rsid w:val="00E750A4"/>
    <w:rsid w:val="00E75564"/>
    <w:rsid w:val="00E75B82"/>
    <w:rsid w:val="00E760D2"/>
    <w:rsid w:val="00E76BEF"/>
    <w:rsid w:val="00E76C05"/>
    <w:rsid w:val="00E76E67"/>
    <w:rsid w:val="00E771DB"/>
    <w:rsid w:val="00E7728A"/>
    <w:rsid w:val="00E77CF5"/>
    <w:rsid w:val="00E806C5"/>
    <w:rsid w:val="00E80F49"/>
    <w:rsid w:val="00E81B0B"/>
    <w:rsid w:val="00E8397C"/>
    <w:rsid w:val="00E84920"/>
    <w:rsid w:val="00E84A02"/>
    <w:rsid w:val="00E850BB"/>
    <w:rsid w:val="00E85A89"/>
    <w:rsid w:val="00E86C69"/>
    <w:rsid w:val="00E87CBE"/>
    <w:rsid w:val="00E90296"/>
    <w:rsid w:val="00E90A97"/>
    <w:rsid w:val="00E91900"/>
    <w:rsid w:val="00E91E37"/>
    <w:rsid w:val="00E9355E"/>
    <w:rsid w:val="00E93EC1"/>
    <w:rsid w:val="00E94F48"/>
    <w:rsid w:val="00E952CF"/>
    <w:rsid w:val="00E95B78"/>
    <w:rsid w:val="00E95D4D"/>
    <w:rsid w:val="00E96B64"/>
    <w:rsid w:val="00E971B4"/>
    <w:rsid w:val="00E97F65"/>
    <w:rsid w:val="00EA03BD"/>
    <w:rsid w:val="00EA0555"/>
    <w:rsid w:val="00EA0E4F"/>
    <w:rsid w:val="00EA19ED"/>
    <w:rsid w:val="00EA1D37"/>
    <w:rsid w:val="00EA1FA1"/>
    <w:rsid w:val="00EA540C"/>
    <w:rsid w:val="00EA7319"/>
    <w:rsid w:val="00EA76AE"/>
    <w:rsid w:val="00EB0351"/>
    <w:rsid w:val="00EB055D"/>
    <w:rsid w:val="00EB0ACA"/>
    <w:rsid w:val="00EB1298"/>
    <w:rsid w:val="00EB1DBF"/>
    <w:rsid w:val="00EB1F74"/>
    <w:rsid w:val="00EB3786"/>
    <w:rsid w:val="00EB3924"/>
    <w:rsid w:val="00EB409F"/>
    <w:rsid w:val="00EB5742"/>
    <w:rsid w:val="00EB5EF2"/>
    <w:rsid w:val="00EB5F03"/>
    <w:rsid w:val="00EB6160"/>
    <w:rsid w:val="00EB62A5"/>
    <w:rsid w:val="00EB6D77"/>
    <w:rsid w:val="00EB75A9"/>
    <w:rsid w:val="00EB7923"/>
    <w:rsid w:val="00EC1D39"/>
    <w:rsid w:val="00EC1F63"/>
    <w:rsid w:val="00EC2DDE"/>
    <w:rsid w:val="00EC34B7"/>
    <w:rsid w:val="00EC3789"/>
    <w:rsid w:val="00EC3F7E"/>
    <w:rsid w:val="00EC426C"/>
    <w:rsid w:val="00EC530D"/>
    <w:rsid w:val="00EC5A62"/>
    <w:rsid w:val="00EC6CDE"/>
    <w:rsid w:val="00EC7D90"/>
    <w:rsid w:val="00ED06D4"/>
    <w:rsid w:val="00ED0B60"/>
    <w:rsid w:val="00ED3132"/>
    <w:rsid w:val="00ED3571"/>
    <w:rsid w:val="00ED4486"/>
    <w:rsid w:val="00ED4C88"/>
    <w:rsid w:val="00ED4FE7"/>
    <w:rsid w:val="00ED55F8"/>
    <w:rsid w:val="00ED6281"/>
    <w:rsid w:val="00ED74ED"/>
    <w:rsid w:val="00ED797A"/>
    <w:rsid w:val="00EE0847"/>
    <w:rsid w:val="00EE1878"/>
    <w:rsid w:val="00EE22C0"/>
    <w:rsid w:val="00EE25B6"/>
    <w:rsid w:val="00EE26BD"/>
    <w:rsid w:val="00EE3287"/>
    <w:rsid w:val="00EE4630"/>
    <w:rsid w:val="00EE67AD"/>
    <w:rsid w:val="00EE6B03"/>
    <w:rsid w:val="00EF0A1D"/>
    <w:rsid w:val="00EF2556"/>
    <w:rsid w:val="00EF4103"/>
    <w:rsid w:val="00EF68DB"/>
    <w:rsid w:val="00EF73FD"/>
    <w:rsid w:val="00F00DA4"/>
    <w:rsid w:val="00F01E58"/>
    <w:rsid w:val="00F0304C"/>
    <w:rsid w:val="00F0337B"/>
    <w:rsid w:val="00F043E1"/>
    <w:rsid w:val="00F066CA"/>
    <w:rsid w:val="00F06BF0"/>
    <w:rsid w:val="00F072BE"/>
    <w:rsid w:val="00F07989"/>
    <w:rsid w:val="00F07A4D"/>
    <w:rsid w:val="00F1026D"/>
    <w:rsid w:val="00F1041D"/>
    <w:rsid w:val="00F114F9"/>
    <w:rsid w:val="00F12140"/>
    <w:rsid w:val="00F12F80"/>
    <w:rsid w:val="00F1307D"/>
    <w:rsid w:val="00F136E7"/>
    <w:rsid w:val="00F137F6"/>
    <w:rsid w:val="00F161C8"/>
    <w:rsid w:val="00F165C7"/>
    <w:rsid w:val="00F20554"/>
    <w:rsid w:val="00F2087F"/>
    <w:rsid w:val="00F21E1F"/>
    <w:rsid w:val="00F22FF9"/>
    <w:rsid w:val="00F23850"/>
    <w:rsid w:val="00F2458F"/>
    <w:rsid w:val="00F2470B"/>
    <w:rsid w:val="00F24B2F"/>
    <w:rsid w:val="00F25639"/>
    <w:rsid w:val="00F25CFA"/>
    <w:rsid w:val="00F26C87"/>
    <w:rsid w:val="00F30C69"/>
    <w:rsid w:val="00F313CC"/>
    <w:rsid w:val="00F31E05"/>
    <w:rsid w:val="00F31FE8"/>
    <w:rsid w:val="00F32DE6"/>
    <w:rsid w:val="00F32E1C"/>
    <w:rsid w:val="00F34149"/>
    <w:rsid w:val="00F350C4"/>
    <w:rsid w:val="00F356D0"/>
    <w:rsid w:val="00F35B5B"/>
    <w:rsid w:val="00F371B6"/>
    <w:rsid w:val="00F3736C"/>
    <w:rsid w:val="00F37D99"/>
    <w:rsid w:val="00F411FF"/>
    <w:rsid w:val="00F41287"/>
    <w:rsid w:val="00F4232A"/>
    <w:rsid w:val="00F42D7F"/>
    <w:rsid w:val="00F436D1"/>
    <w:rsid w:val="00F44CCD"/>
    <w:rsid w:val="00F45A6F"/>
    <w:rsid w:val="00F4632D"/>
    <w:rsid w:val="00F4654F"/>
    <w:rsid w:val="00F4729D"/>
    <w:rsid w:val="00F47397"/>
    <w:rsid w:val="00F502A2"/>
    <w:rsid w:val="00F50E39"/>
    <w:rsid w:val="00F52626"/>
    <w:rsid w:val="00F526C3"/>
    <w:rsid w:val="00F53D45"/>
    <w:rsid w:val="00F54C56"/>
    <w:rsid w:val="00F55B2B"/>
    <w:rsid w:val="00F56302"/>
    <w:rsid w:val="00F5705E"/>
    <w:rsid w:val="00F578A6"/>
    <w:rsid w:val="00F603AB"/>
    <w:rsid w:val="00F60EFD"/>
    <w:rsid w:val="00F6137E"/>
    <w:rsid w:val="00F62347"/>
    <w:rsid w:val="00F6489A"/>
    <w:rsid w:val="00F64BB4"/>
    <w:rsid w:val="00F64DDC"/>
    <w:rsid w:val="00F64E21"/>
    <w:rsid w:val="00F651F6"/>
    <w:rsid w:val="00F65623"/>
    <w:rsid w:val="00F65751"/>
    <w:rsid w:val="00F6598A"/>
    <w:rsid w:val="00F65F2C"/>
    <w:rsid w:val="00F6785A"/>
    <w:rsid w:val="00F70021"/>
    <w:rsid w:val="00F71E67"/>
    <w:rsid w:val="00F7205C"/>
    <w:rsid w:val="00F7257F"/>
    <w:rsid w:val="00F72654"/>
    <w:rsid w:val="00F73832"/>
    <w:rsid w:val="00F73CBF"/>
    <w:rsid w:val="00F7416C"/>
    <w:rsid w:val="00F74393"/>
    <w:rsid w:val="00F74CD4"/>
    <w:rsid w:val="00F756F3"/>
    <w:rsid w:val="00F757AB"/>
    <w:rsid w:val="00F75BB2"/>
    <w:rsid w:val="00F76156"/>
    <w:rsid w:val="00F7642C"/>
    <w:rsid w:val="00F779EF"/>
    <w:rsid w:val="00F77B13"/>
    <w:rsid w:val="00F77C2B"/>
    <w:rsid w:val="00F802DF"/>
    <w:rsid w:val="00F80AF3"/>
    <w:rsid w:val="00F81828"/>
    <w:rsid w:val="00F82BC2"/>
    <w:rsid w:val="00F83583"/>
    <w:rsid w:val="00F841D6"/>
    <w:rsid w:val="00F84B27"/>
    <w:rsid w:val="00F84E87"/>
    <w:rsid w:val="00F853AC"/>
    <w:rsid w:val="00F86054"/>
    <w:rsid w:val="00F863FE"/>
    <w:rsid w:val="00F86DCA"/>
    <w:rsid w:val="00F90169"/>
    <w:rsid w:val="00F90983"/>
    <w:rsid w:val="00F90B1A"/>
    <w:rsid w:val="00F923EC"/>
    <w:rsid w:val="00F92CEB"/>
    <w:rsid w:val="00F93DF5"/>
    <w:rsid w:val="00F93FA0"/>
    <w:rsid w:val="00F942A4"/>
    <w:rsid w:val="00F94ED5"/>
    <w:rsid w:val="00F94F37"/>
    <w:rsid w:val="00F959A6"/>
    <w:rsid w:val="00F9619C"/>
    <w:rsid w:val="00F9697F"/>
    <w:rsid w:val="00FA0EEC"/>
    <w:rsid w:val="00FA1952"/>
    <w:rsid w:val="00FA1A74"/>
    <w:rsid w:val="00FA1D41"/>
    <w:rsid w:val="00FA1EB1"/>
    <w:rsid w:val="00FA1F90"/>
    <w:rsid w:val="00FA2AAA"/>
    <w:rsid w:val="00FA2F53"/>
    <w:rsid w:val="00FA3F07"/>
    <w:rsid w:val="00FA3FE6"/>
    <w:rsid w:val="00FA48FD"/>
    <w:rsid w:val="00FA4902"/>
    <w:rsid w:val="00FA5EE3"/>
    <w:rsid w:val="00FA6EFD"/>
    <w:rsid w:val="00FA7461"/>
    <w:rsid w:val="00FA760C"/>
    <w:rsid w:val="00FB0718"/>
    <w:rsid w:val="00FB16B5"/>
    <w:rsid w:val="00FB1AB9"/>
    <w:rsid w:val="00FB272A"/>
    <w:rsid w:val="00FB2B3D"/>
    <w:rsid w:val="00FB30F5"/>
    <w:rsid w:val="00FB3951"/>
    <w:rsid w:val="00FB42C3"/>
    <w:rsid w:val="00FB4457"/>
    <w:rsid w:val="00FB4758"/>
    <w:rsid w:val="00FB4D84"/>
    <w:rsid w:val="00FB569C"/>
    <w:rsid w:val="00FB71C0"/>
    <w:rsid w:val="00FC06A1"/>
    <w:rsid w:val="00FC0C45"/>
    <w:rsid w:val="00FC31A8"/>
    <w:rsid w:val="00FC3517"/>
    <w:rsid w:val="00FC5C05"/>
    <w:rsid w:val="00FC5D0B"/>
    <w:rsid w:val="00FC5F4A"/>
    <w:rsid w:val="00FC6220"/>
    <w:rsid w:val="00FC63D6"/>
    <w:rsid w:val="00FC68F4"/>
    <w:rsid w:val="00FC70F9"/>
    <w:rsid w:val="00FC7159"/>
    <w:rsid w:val="00FD006B"/>
    <w:rsid w:val="00FD1356"/>
    <w:rsid w:val="00FD1596"/>
    <w:rsid w:val="00FD1F57"/>
    <w:rsid w:val="00FD3E25"/>
    <w:rsid w:val="00FD4013"/>
    <w:rsid w:val="00FD43F0"/>
    <w:rsid w:val="00FD4851"/>
    <w:rsid w:val="00FD550F"/>
    <w:rsid w:val="00FD6B99"/>
    <w:rsid w:val="00FD7161"/>
    <w:rsid w:val="00FD717F"/>
    <w:rsid w:val="00FD79BF"/>
    <w:rsid w:val="00FD79E8"/>
    <w:rsid w:val="00FE0840"/>
    <w:rsid w:val="00FE2298"/>
    <w:rsid w:val="00FE3AFE"/>
    <w:rsid w:val="00FE3BB3"/>
    <w:rsid w:val="00FE3C14"/>
    <w:rsid w:val="00FE5705"/>
    <w:rsid w:val="00FF0797"/>
    <w:rsid w:val="00FF2EB1"/>
    <w:rsid w:val="00FF3631"/>
    <w:rsid w:val="00FF4A53"/>
    <w:rsid w:val="071AF0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2CE262"/>
  <w15:docId w15:val="{83404E43-E5A1-474C-B807-E492C4682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89D"/>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9F20E4"/>
    <w:pPr>
      <w:keepNext/>
      <w:numPr>
        <w:numId w:val="4"/>
      </w:numPr>
      <w:spacing w:before="480"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3337F"/>
    <w:pPr>
      <w:keepNext/>
      <w:numPr>
        <w:ilvl w:val="3"/>
        <w:numId w:val="4"/>
      </w:numPr>
      <w:spacing w:before="240" w:after="60"/>
      <w:outlineLvl w:val="3"/>
    </w:pPr>
    <w:rPr>
      <w:rFonts w:ascii="Segoe UI Semibold" w:eastAsia="Times New Roman" w:hAnsi="Segoe UI Semibold" w:cs="Times New Roman"/>
      <w:color w:val="00264D" w:themeColor="background2"/>
      <w:sz w:val="25"/>
      <w:szCs w:val="19"/>
      <w:lang w:eastAsia="en-AU"/>
    </w:rPr>
  </w:style>
  <w:style w:type="paragraph" w:styleId="Heading5">
    <w:name w:val="heading 5"/>
    <w:basedOn w:val="Normal"/>
    <w:next w:val="Normal"/>
    <w:link w:val="Heading5Char"/>
    <w:uiPriority w:val="19"/>
    <w:qFormat/>
    <w:rsid w:val="00D3337F"/>
    <w:pPr>
      <w:keepNext/>
      <w:numPr>
        <w:ilvl w:val="4"/>
        <w:numId w:val="4"/>
      </w:numPr>
      <w:spacing w:before="240" w:after="60"/>
      <w:outlineLvl w:val="4"/>
    </w:pPr>
    <w:rPr>
      <w:rFonts w:eastAsia="Times New Roman" w:cs="Times New Roman"/>
      <w:b/>
      <w:color w:val="808080" w:themeColor="background1" w:themeShade="80"/>
      <w:sz w:val="22"/>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789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05789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05789D"/>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05789D"/>
    <w:rPr>
      <w:rFonts w:ascii="Segoe UI Semibold" w:eastAsia="Times New Roman" w:hAnsi="Segoe UI Semibold" w:cs="Times New Roman"/>
      <w:color w:val="00264D" w:themeColor="background2"/>
      <w:sz w:val="25"/>
      <w:szCs w:val="19"/>
      <w:lang w:val="en-AU" w:eastAsia="en-AU"/>
    </w:rPr>
  </w:style>
  <w:style w:type="character" w:customStyle="1" w:styleId="Heading5Char">
    <w:name w:val="Heading 5 Char"/>
    <w:basedOn w:val="DefaultParagraphFont"/>
    <w:link w:val="Heading5"/>
    <w:uiPriority w:val="19"/>
    <w:rsid w:val="003B5517"/>
    <w:rPr>
      <w:rFonts w:ascii="Segoe UI" w:eastAsia="Times New Roman" w:hAnsi="Segoe UI" w:cs="Times New Roman"/>
      <w:b/>
      <w:color w:val="808080" w:themeColor="background1" w:themeShade="80"/>
      <w:szCs w:val="24"/>
      <w:lang w:val="en-AU" w:eastAsia="en-AU"/>
    </w:rPr>
  </w:style>
  <w:style w:type="character" w:customStyle="1" w:styleId="Heading6Char">
    <w:name w:val="Heading 6 Char"/>
    <w:basedOn w:val="DefaultParagraphFont"/>
    <w:link w:val="Heading6"/>
    <w:uiPriority w:val="19"/>
    <w:rsid w:val="006F5B5A"/>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3E02E5"/>
    <w:pPr>
      <w:numPr>
        <w:numId w:val="8"/>
      </w:numPr>
      <w:suppressAutoHyphens/>
      <w:ind w:left="360"/>
    </w:pPr>
    <w:rPr>
      <w:rFonts w:eastAsia="Times New Roman" w:cs="Times New Roman"/>
      <w:szCs w:val="19"/>
      <w:lang w:eastAsia="en-AU"/>
    </w:rPr>
  </w:style>
  <w:style w:type="paragraph" w:customStyle="1" w:styleId="TableNheader">
    <w:name w:val="Table N header"/>
    <w:basedOn w:val="Heading5"/>
    <w:uiPriority w:val="2"/>
    <w:qFormat/>
    <w:rsid w:val="009C750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1"/>
    <w:qFormat/>
    <w:rsid w:val="0023346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basedOn w:val="Normal"/>
    <w:link w:val="FooterChar"/>
    <w:uiPriority w:val="89"/>
    <w:unhideWhenUsed/>
    <w:rsid w:val="00302076"/>
    <w:pPr>
      <w:tabs>
        <w:tab w:val="center" w:pos="4513"/>
        <w:tab w:val="right" w:pos="9026"/>
      </w:tabs>
      <w:spacing w:after="0"/>
    </w:pPr>
  </w:style>
  <w:style w:type="character" w:customStyle="1" w:styleId="FooterChar">
    <w:name w:val="Footer Char"/>
    <w:basedOn w:val="DefaultParagraphFont"/>
    <w:link w:val="Footer"/>
    <w:uiPriority w:val="89"/>
    <w:rsid w:val="00302076"/>
    <w:rPr>
      <w:rFonts w:ascii="Segoe UI" w:hAnsi="Segoe UI"/>
      <w:sz w:val="19"/>
    </w:rPr>
  </w:style>
  <w:style w:type="paragraph" w:styleId="Caption">
    <w:name w:val="caption"/>
    <w:basedOn w:val="Normal"/>
    <w:next w:val="Normal"/>
    <w:uiPriority w:val="35"/>
    <w:qFormat/>
    <w:rsid w:val="00413A52"/>
    <w:pPr>
      <w:spacing w:before="360"/>
    </w:pPr>
    <w:rPr>
      <w:rFonts w:ascii="Segoe UI Semibold" w:hAnsi="Segoe UI Semibold"/>
      <w:bCs/>
      <w:color w:val="00264D" w:themeColor="background2"/>
      <w:sz w:val="20"/>
      <w:szCs w:val="18"/>
    </w:rPr>
  </w:style>
  <w:style w:type="paragraph" w:customStyle="1" w:styleId="TableNBullet">
    <w:name w:val="Table N Bullet"/>
    <w:basedOn w:val="Bullet"/>
    <w:link w:val="TableNBulletChar"/>
    <w:uiPriority w:val="9"/>
    <w:qFormat/>
    <w:rsid w:val="000A13C3"/>
    <w:pPr>
      <w:numPr>
        <w:numId w:val="5"/>
      </w:numPr>
      <w:spacing w:before="40" w:after="40"/>
    </w:pPr>
    <w:rPr>
      <w:sz w:val="17"/>
    </w:rPr>
  </w:style>
  <w:style w:type="paragraph" w:customStyle="1" w:styleId="TableNListnumbered">
    <w:name w:val="Table N List (numbered)"/>
    <w:basedOn w:val="TableNBullet"/>
    <w:uiPriority w:val="1"/>
    <w:qFormat/>
    <w:rsid w:val="0029320C"/>
    <w:pPr>
      <w:numPr>
        <w:numId w:val="1"/>
      </w:numPr>
      <w:ind w:left="170" w:hanging="170"/>
    </w:pPr>
  </w:style>
  <w:style w:type="paragraph" w:customStyle="1" w:styleId="xAppendixLevel1">
    <w:name w:val="xAppendix Level 1"/>
    <w:basedOn w:val="Heading1"/>
    <w:next w:val="Normal"/>
    <w:uiPriority w:val="98"/>
    <w:qFormat/>
    <w:rsid w:val="002B5822"/>
    <w:pPr>
      <w:pageBreakBefore/>
      <w:numPr>
        <w:numId w:val="2"/>
      </w:numPr>
    </w:pPr>
    <w:rPr>
      <w:rFonts w:ascii="Segoe UI Semibold" w:hAnsi="Segoe UI Semibold"/>
      <w:b w:val="0"/>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BE4870"/>
    <w:pPr>
      <w:numPr>
        <w:numId w:val="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2"/>
    <w:qFormat/>
    <w:rsid w:val="0029320C"/>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2"/>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1"/>
    <w:rsid w:val="00653916"/>
    <w:rPr>
      <w:rFonts w:ascii="Segoe UI Semibold" w:eastAsia="Times New Roman" w:hAnsi="Segoe UI Semibold" w:cs="Times New Roman"/>
      <w:color w:val="00264D"/>
      <w:sz w:val="18"/>
      <w:szCs w:val="17"/>
      <w:lang w:val="en-AU" w:eastAsia="en-AU"/>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0A13C3"/>
    <w:rPr>
      <w:rFonts w:ascii="Segoe UI" w:eastAsia="Times New Roman" w:hAnsi="Segoe UI" w:cs="Times New Roman"/>
      <w:sz w:val="17"/>
      <w:szCs w:val="19"/>
      <w:lang w:val="en-AU" w:eastAsia="en-AU"/>
    </w:rPr>
  </w:style>
  <w:style w:type="table" w:styleId="TableGrid">
    <w:name w:val="Table Grid"/>
    <w:aliases w:val="Table,NOUS,NOUS Side Header,Nous Table"/>
    <w:basedOn w:val="TableNormal"/>
    <w:uiPriority w:val="39"/>
    <w:rsid w:val="00E031CC"/>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w:hAnsi="Segoe UI"/>
        <w:b/>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BulletChar">
    <w:name w:val="Bullet Char"/>
    <w:basedOn w:val="DefaultParagraphFont"/>
    <w:link w:val="Bullet"/>
    <w:uiPriority w:val="2"/>
    <w:rsid w:val="003E02E5"/>
    <w:rPr>
      <w:rFonts w:ascii="Segoe UI" w:eastAsia="Times New Roman" w:hAnsi="Segoe UI" w:cs="Times New Roman"/>
      <w:sz w:val="19"/>
      <w:szCs w:val="19"/>
      <w:lang w:val="en-AU" w:eastAsia="en-AU"/>
    </w:rPr>
  </w:style>
  <w:style w:type="paragraph" w:styleId="ListParagraph">
    <w:name w:val="List Paragraph"/>
    <w:basedOn w:val="Normal"/>
    <w:uiPriority w:val="34"/>
    <w:qFormat/>
    <w:rsid w:val="00CF07F2"/>
    <w:pPr>
      <w:ind w:left="720"/>
      <w:contextualSpacing/>
    </w:p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SideTitle">
    <w:name w:val="Side Title"/>
    <w:basedOn w:val="TableNormal"/>
    <w:uiPriority w:val="99"/>
    <w:rsid w:val="001C1921"/>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Segoe UI" w:hAnsi="Segoe UI"/>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Styletopandsideheading">
    <w:name w:val="Nous Table Style top and side heading"/>
    <w:basedOn w:val="TableNormal"/>
    <w:uiPriority w:val="99"/>
    <w:rsid w:val="00F2470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character" w:styleId="CommentReference">
    <w:name w:val="annotation reference"/>
    <w:basedOn w:val="DefaultParagraphFont"/>
    <w:uiPriority w:val="99"/>
    <w:semiHidden/>
    <w:unhideWhenUsed/>
    <w:rsid w:val="00D741A1"/>
    <w:rPr>
      <w:sz w:val="16"/>
      <w:szCs w:val="16"/>
    </w:rPr>
  </w:style>
  <w:style w:type="paragraph" w:styleId="CommentText">
    <w:name w:val="annotation text"/>
    <w:basedOn w:val="Normal"/>
    <w:link w:val="CommentTextChar"/>
    <w:uiPriority w:val="99"/>
    <w:unhideWhenUsed/>
    <w:rsid w:val="00D741A1"/>
    <w:rPr>
      <w:sz w:val="20"/>
      <w:szCs w:val="20"/>
    </w:rPr>
  </w:style>
  <w:style w:type="character" w:customStyle="1" w:styleId="CommentTextChar">
    <w:name w:val="Comment Text Char"/>
    <w:basedOn w:val="DefaultParagraphFont"/>
    <w:link w:val="CommentText"/>
    <w:uiPriority w:val="99"/>
    <w:rsid w:val="00D741A1"/>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41A1"/>
    <w:rPr>
      <w:b/>
      <w:bCs/>
    </w:rPr>
  </w:style>
  <w:style w:type="character" w:customStyle="1" w:styleId="CommentSubjectChar">
    <w:name w:val="Comment Subject Char"/>
    <w:basedOn w:val="CommentTextChar"/>
    <w:link w:val="CommentSubject"/>
    <w:uiPriority w:val="99"/>
    <w:semiHidden/>
    <w:rsid w:val="00D741A1"/>
    <w:rPr>
      <w:rFonts w:ascii="Segoe UI" w:hAnsi="Segoe UI"/>
      <w:b/>
      <w:bCs/>
      <w:sz w:val="20"/>
      <w:szCs w:val="20"/>
      <w:lang w:val="en-AU"/>
    </w:rPr>
  </w:style>
  <w:style w:type="paragraph" w:styleId="Revision">
    <w:name w:val="Revision"/>
    <w:hidden/>
    <w:uiPriority w:val="99"/>
    <w:semiHidden/>
    <w:rsid w:val="003A23AC"/>
    <w:pPr>
      <w:spacing w:after="0" w:line="240" w:lineRule="auto"/>
    </w:pPr>
    <w:rPr>
      <w:rFonts w:ascii="Segoe UI" w:hAnsi="Segoe UI"/>
      <w:sz w:val="19"/>
      <w:lang w:val="en-AU"/>
    </w:rPr>
  </w:style>
  <w:style w:type="paragraph" w:styleId="FootnoteText">
    <w:name w:val="footnote text"/>
    <w:basedOn w:val="Normal"/>
    <w:link w:val="FootnoteTextChar"/>
    <w:uiPriority w:val="99"/>
    <w:unhideWhenUsed/>
    <w:rsid w:val="00116182"/>
    <w:pPr>
      <w:spacing w:after="0"/>
    </w:pPr>
    <w:rPr>
      <w:sz w:val="20"/>
      <w:szCs w:val="20"/>
    </w:rPr>
  </w:style>
  <w:style w:type="character" w:customStyle="1" w:styleId="FootnoteTextChar">
    <w:name w:val="Footnote Text Char"/>
    <w:basedOn w:val="DefaultParagraphFont"/>
    <w:link w:val="FootnoteText"/>
    <w:uiPriority w:val="99"/>
    <w:rsid w:val="00116182"/>
    <w:rPr>
      <w:rFonts w:ascii="Segoe UI" w:hAnsi="Segoe UI"/>
      <w:sz w:val="20"/>
      <w:szCs w:val="20"/>
      <w:lang w:val="en-AU"/>
    </w:rPr>
  </w:style>
  <w:style w:type="character" w:styleId="FootnoteReference">
    <w:name w:val="footnote reference"/>
    <w:basedOn w:val="DefaultParagraphFont"/>
    <w:uiPriority w:val="99"/>
    <w:unhideWhenUsed/>
    <w:rsid w:val="00116182"/>
    <w:rPr>
      <w:vertAlign w:val="superscript"/>
    </w:rPr>
  </w:style>
  <w:style w:type="paragraph" w:customStyle="1" w:styleId="Default">
    <w:name w:val="Default"/>
    <w:rsid w:val="00396DF4"/>
    <w:pPr>
      <w:autoSpaceDE w:val="0"/>
      <w:autoSpaceDN w:val="0"/>
      <w:adjustRightInd w:val="0"/>
      <w:spacing w:after="0" w:line="240" w:lineRule="auto"/>
    </w:pPr>
    <w:rPr>
      <w:rFonts w:ascii="Arial Narrow" w:hAnsi="Arial Narrow" w:cs="Arial Narrow"/>
      <w:color w:val="000000"/>
      <w:sz w:val="24"/>
      <w:szCs w:val="24"/>
      <w:lang w:val="en-AU"/>
    </w:rPr>
  </w:style>
  <w:style w:type="character" w:styleId="FollowedHyperlink">
    <w:name w:val="FollowedHyperlink"/>
    <w:basedOn w:val="DefaultParagraphFont"/>
    <w:uiPriority w:val="99"/>
    <w:semiHidden/>
    <w:unhideWhenUsed/>
    <w:rsid w:val="00DB4C59"/>
    <w:rPr>
      <w:color w:val="0048C7" w:themeColor="followedHyperlink"/>
      <w:u w:val="single"/>
    </w:rPr>
  </w:style>
  <w:style w:type="paragraph" w:styleId="NormalWeb">
    <w:name w:val="Normal (Web)"/>
    <w:basedOn w:val="Normal"/>
    <w:uiPriority w:val="99"/>
    <w:semiHidden/>
    <w:unhideWhenUsed/>
    <w:rsid w:val="002B75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numberedChar">
    <w:name w:val="List (numbered) Char"/>
    <w:basedOn w:val="DefaultParagraphFont"/>
    <w:link w:val="Listnumbered"/>
    <w:uiPriority w:val="4"/>
    <w:rsid w:val="009B4DA7"/>
    <w:rPr>
      <w:rFonts w:ascii="Segoe UI" w:hAnsi="Segoe UI"/>
      <w:sz w:val="19"/>
      <w:lang w:val="en-AU"/>
    </w:rPr>
  </w:style>
  <w:style w:type="paragraph" w:styleId="EndnoteText">
    <w:name w:val="endnote text"/>
    <w:basedOn w:val="Normal"/>
    <w:link w:val="EndnoteTextChar"/>
    <w:uiPriority w:val="99"/>
    <w:unhideWhenUsed/>
    <w:rsid w:val="00CD251F"/>
    <w:pPr>
      <w:spacing w:after="0"/>
    </w:pPr>
    <w:rPr>
      <w:sz w:val="20"/>
      <w:szCs w:val="20"/>
    </w:rPr>
  </w:style>
  <w:style w:type="character" w:customStyle="1" w:styleId="EndnoteTextChar">
    <w:name w:val="Endnote Text Char"/>
    <w:basedOn w:val="DefaultParagraphFont"/>
    <w:link w:val="EndnoteText"/>
    <w:uiPriority w:val="99"/>
    <w:rsid w:val="00CD251F"/>
    <w:rPr>
      <w:rFonts w:ascii="Segoe UI" w:hAnsi="Segoe UI"/>
      <w:sz w:val="20"/>
      <w:szCs w:val="20"/>
      <w:lang w:val="en-AU"/>
    </w:rPr>
  </w:style>
  <w:style w:type="character" w:styleId="EndnoteReference">
    <w:name w:val="endnote reference"/>
    <w:basedOn w:val="DefaultParagraphFont"/>
    <w:uiPriority w:val="99"/>
    <w:semiHidden/>
    <w:unhideWhenUsed/>
    <w:rsid w:val="00CD251F"/>
    <w:rPr>
      <w:vertAlign w:val="superscript"/>
    </w:rPr>
  </w:style>
  <w:style w:type="paragraph" w:customStyle="1" w:styleId="Covertitle">
    <w:name w:val="Cover title"/>
    <w:basedOn w:val="Normal"/>
    <w:link w:val="CovertitleChar"/>
    <w:uiPriority w:val="99"/>
    <w:semiHidden/>
    <w:rsid w:val="008B732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B732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B732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B732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B732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B732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B7323"/>
    <w:rPr>
      <w:color w:val="808080"/>
    </w:rPr>
  </w:style>
  <w:style w:type="paragraph" w:styleId="TOCHeading">
    <w:name w:val="TOC Heading"/>
    <w:basedOn w:val="Heading1"/>
    <w:next w:val="Normal"/>
    <w:uiPriority w:val="39"/>
    <w:semiHidden/>
    <w:unhideWhenUsed/>
    <w:qFormat/>
    <w:rsid w:val="008B7323"/>
    <w:pPr>
      <w:keepLines/>
      <w:numPr>
        <w:numId w:val="0"/>
      </w:numPr>
      <w:spacing w:after="0" w:line="276" w:lineRule="auto"/>
      <w:outlineLvl w:val="9"/>
    </w:pPr>
    <w:rPr>
      <w:rFonts w:asciiTheme="majorHAnsi" w:eastAsiaTheme="majorEastAsia" w:hAnsiTheme="majorHAnsi" w:cstheme="majorBidi"/>
      <w:bCs/>
      <w:color w:val="EA0006" w:themeColor="accent1" w:themeShade="BF"/>
      <w:sz w:val="28"/>
      <w:szCs w:val="28"/>
      <w:lang w:val="en-US" w:eastAsia="ja-JP"/>
    </w:rPr>
  </w:style>
  <w:style w:type="paragraph" w:styleId="TOC1">
    <w:name w:val="toc 1"/>
    <w:basedOn w:val="Normal"/>
    <w:next w:val="Normal"/>
    <w:autoRedefine/>
    <w:uiPriority w:val="39"/>
    <w:unhideWhenUsed/>
    <w:rsid w:val="008B7323"/>
    <w:pPr>
      <w:spacing w:after="100"/>
    </w:pPr>
  </w:style>
  <w:style w:type="paragraph" w:styleId="TOC3">
    <w:name w:val="toc 3"/>
    <w:basedOn w:val="Normal"/>
    <w:next w:val="Normal"/>
    <w:autoRedefine/>
    <w:uiPriority w:val="39"/>
    <w:unhideWhenUsed/>
    <w:rsid w:val="008B7323"/>
    <w:pPr>
      <w:spacing w:after="100"/>
      <w:ind w:left="380"/>
    </w:pPr>
  </w:style>
  <w:style w:type="paragraph" w:styleId="TOC2">
    <w:name w:val="toc 2"/>
    <w:basedOn w:val="Normal"/>
    <w:next w:val="Normal"/>
    <w:autoRedefine/>
    <w:uiPriority w:val="39"/>
    <w:unhideWhenUsed/>
    <w:rsid w:val="008B7323"/>
    <w:pPr>
      <w:spacing w:after="100"/>
      <w:ind w:left="190"/>
    </w:pPr>
  </w:style>
  <w:style w:type="paragraph" w:customStyle="1" w:styleId="paragraph">
    <w:name w:val="paragraph"/>
    <w:basedOn w:val="Normal"/>
    <w:rsid w:val="006657B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24280"/>
    <w:rPr>
      <w:i/>
      <w:iCs/>
    </w:rPr>
  </w:style>
  <w:style w:type="character" w:customStyle="1" w:styleId="TableNTextChar">
    <w:name w:val="Table N Text Char"/>
    <w:basedOn w:val="DefaultParagraphFont"/>
    <w:link w:val="TableNText"/>
    <w:uiPriority w:val="1"/>
    <w:rsid w:val="007F2970"/>
    <w:rPr>
      <w:rFonts w:ascii="Segoe UI" w:eastAsia="Times New Roman" w:hAnsi="Segoe UI" w:cs="Times New Roman"/>
      <w:sz w:val="17"/>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085">
      <w:bodyDiv w:val="1"/>
      <w:marLeft w:val="0"/>
      <w:marRight w:val="0"/>
      <w:marTop w:val="0"/>
      <w:marBottom w:val="0"/>
      <w:divBdr>
        <w:top w:val="none" w:sz="0" w:space="0" w:color="auto"/>
        <w:left w:val="none" w:sz="0" w:space="0" w:color="auto"/>
        <w:bottom w:val="none" w:sz="0" w:space="0" w:color="auto"/>
        <w:right w:val="none" w:sz="0" w:space="0" w:color="auto"/>
      </w:divBdr>
    </w:div>
    <w:div w:id="41910712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819140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585338">
      <w:bodyDiv w:val="1"/>
      <w:marLeft w:val="0"/>
      <w:marRight w:val="0"/>
      <w:marTop w:val="0"/>
      <w:marBottom w:val="0"/>
      <w:divBdr>
        <w:top w:val="none" w:sz="0" w:space="0" w:color="auto"/>
        <w:left w:val="none" w:sz="0" w:space="0" w:color="auto"/>
        <w:bottom w:val="none" w:sz="0" w:space="0" w:color="auto"/>
        <w:right w:val="none" w:sz="0" w:space="0" w:color="auto"/>
      </w:divBdr>
    </w:div>
    <w:div w:id="1221555936">
      <w:bodyDiv w:val="1"/>
      <w:marLeft w:val="0"/>
      <w:marRight w:val="0"/>
      <w:marTop w:val="0"/>
      <w:marBottom w:val="0"/>
      <w:divBdr>
        <w:top w:val="none" w:sz="0" w:space="0" w:color="auto"/>
        <w:left w:val="none" w:sz="0" w:space="0" w:color="auto"/>
        <w:bottom w:val="none" w:sz="0" w:space="0" w:color="auto"/>
        <w:right w:val="none" w:sz="0" w:space="0" w:color="auto"/>
      </w:divBdr>
    </w:div>
    <w:div w:id="1543636074">
      <w:bodyDiv w:val="1"/>
      <w:marLeft w:val="0"/>
      <w:marRight w:val="0"/>
      <w:marTop w:val="0"/>
      <w:marBottom w:val="0"/>
      <w:divBdr>
        <w:top w:val="none" w:sz="0" w:space="0" w:color="auto"/>
        <w:left w:val="none" w:sz="0" w:space="0" w:color="auto"/>
        <w:bottom w:val="none" w:sz="0" w:space="0" w:color="auto"/>
        <w:right w:val="none" w:sz="0" w:space="0" w:color="auto"/>
      </w:divBdr>
    </w:div>
    <w:div w:id="1561134644">
      <w:bodyDiv w:val="1"/>
      <w:marLeft w:val="0"/>
      <w:marRight w:val="0"/>
      <w:marTop w:val="0"/>
      <w:marBottom w:val="0"/>
      <w:divBdr>
        <w:top w:val="none" w:sz="0" w:space="0" w:color="auto"/>
        <w:left w:val="none" w:sz="0" w:space="0" w:color="auto"/>
        <w:bottom w:val="none" w:sz="0" w:space="0" w:color="auto"/>
        <w:right w:val="none" w:sz="0" w:space="0" w:color="auto"/>
      </w:divBdr>
    </w:div>
    <w:div w:id="1664118937">
      <w:bodyDiv w:val="1"/>
      <w:marLeft w:val="0"/>
      <w:marRight w:val="0"/>
      <w:marTop w:val="0"/>
      <w:marBottom w:val="0"/>
      <w:divBdr>
        <w:top w:val="none" w:sz="0" w:space="0" w:color="auto"/>
        <w:left w:val="none" w:sz="0" w:space="0" w:color="auto"/>
        <w:bottom w:val="none" w:sz="0" w:space="0" w:color="auto"/>
        <w:right w:val="none" w:sz="0" w:space="0" w:color="auto"/>
      </w:divBdr>
    </w:div>
    <w:div w:id="18352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nntt.gov.au/Maps/QLD_Cape_York_NTDA_Schedu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66541c0-0594-4e6a-9105-c24d4b6de6f7">
      <UserInfo>
        <DisplayName>Gretchen Smith</DisplayName>
        <AccountId>32</AccountId>
        <AccountType/>
      </UserInfo>
    </SharedWithUsers>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DOC22-209</ShareHubID>
    <TaxCatchAll xmlns="166541c0-0594-4e6a-9105-c24d4b6de6f7">
      <Value>62</Value>
      <Value>18</Value>
      <Value>29</Value>
      <Value>57</Value>
    </TaxCatchAll>
    <PMCNotes xmlns="166541c0-0594-4e6a-9105-c24d4b6de6f7" xsi:nil="true"/>
    <NonRecordJustification xmlns="685f9fda-bd71-4433-b331-92feb9553089">None</NonRecordJustificati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72C4C9-238A-44E7-9D65-01DF6F26F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685f9fda-bd71-4433-b331-92feb9553089"/>
    <ds:schemaRef ds:uri="166541c0-0594-4e6a-9105-c24d4b6de6f7"/>
    <ds:schemaRef ds:uri="http://www.w3.org/XML/1998/namespace"/>
  </ds:schemaRefs>
</ds:datastoreItem>
</file>

<file path=customXml/itemProps5.xml><?xml version="1.0" encoding="utf-8"?>
<ds:datastoreItem xmlns:ds="http://schemas.openxmlformats.org/officeDocument/2006/customXml" ds:itemID="{BED9EF6B-B934-40FF-89F2-1B1DC8CD7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7882</Words>
  <Characters>44932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Review of Performance as a Native Title Service Provider: Cape York Land Council</vt:lpstr>
    </vt:vector>
  </TitlesOfParts>
  <Company>The Nous Group</Company>
  <LinksUpToDate>false</LinksUpToDate>
  <CharactersWithSpaces>52709</CharactersWithSpaces>
  <SharedDoc>false</SharedDoc>
  <HLinks>
    <vt:vector size="54" baseType="variant">
      <vt:variant>
        <vt:i4>1507388</vt:i4>
      </vt:variant>
      <vt:variant>
        <vt:i4>44</vt:i4>
      </vt:variant>
      <vt:variant>
        <vt:i4>0</vt:i4>
      </vt:variant>
      <vt:variant>
        <vt:i4>5</vt:i4>
      </vt:variant>
      <vt:variant>
        <vt:lpwstr/>
      </vt:variant>
      <vt:variant>
        <vt:lpwstr>_Toc37837206</vt:lpwstr>
      </vt:variant>
      <vt:variant>
        <vt:i4>1310780</vt:i4>
      </vt:variant>
      <vt:variant>
        <vt:i4>38</vt:i4>
      </vt:variant>
      <vt:variant>
        <vt:i4>0</vt:i4>
      </vt:variant>
      <vt:variant>
        <vt:i4>5</vt:i4>
      </vt:variant>
      <vt:variant>
        <vt:lpwstr/>
      </vt:variant>
      <vt:variant>
        <vt:lpwstr>_Toc37837205</vt:lpwstr>
      </vt:variant>
      <vt:variant>
        <vt:i4>1376316</vt:i4>
      </vt:variant>
      <vt:variant>
        <vt:i4>32</vt:i4>
      </vt:variant>
      <vt:variant>
        <vt:i4>0</vt:i4>
      </vt:variant>
      <vt:variant>
        <vt:i4>5</vt:i4>
      </vt:variant>
      <vt:variant>
        <vt:lpwstr/>
      </vt:variant>
      <vt:variant>
        <vt:lpwstr>_Toc37837204</vt:lpwstr>
      </vt:variant>
      <vt:variant>
        <vt:i4>1179708</vt:i4>
      </vt:variant>
      <vt:variant>
        <vt:i4>26</vt:i4>
      </vt:variant>
      <vt:variant>
        <vt:i4>0</vt:i4>
      </vt:variant>
      <vt:variant>
        <vt:i4>5</vt:i4>
      </vt:variant>
      <vt:variant>
        <vt:lpwstr/>
      </vt:variant>
      <vt:variant>
        <vt:lpwstr>_Toc37837203</vt:lpwstr>
      </vt:variant>
      <vt:variant>
        <vt:i4>1245244</vt:i4>
      </vt:variant>
      <vt:variant>
        <vt:i4>20</vt:i4>
      </vt:variant>
      <vt:variant>
        <vt:i4>0</vt:i4>
      </vt:variant>
      <vt:variant>
        <vt:i4>5</vt:i4>
      </vt:variant>
      <vt:variant>
        <vt:lpwstr/>
      </vt:variant>
      <vt:variant>
        <vt:lpwstr>_Toc37837202</vt:lpwstr>
      </vt:variant>
      <vt:variant>
        <vt:i4>1048636</vt:i4>
      </vt:variant>
      <vt:variant>
        <vt:i4>14</vt:i4>
      </vt:variant>
      <vt:variant>
        <vt:i4>0</vt:i4>
      </vt:variant>
      <vt:variant>
        <vt:i4>5</vt:i4>
      </vt:variant>
      <vt:variant>
        <vt:lpwstr/>
      </vt:variant>
      <vt:variant>
        <vt:lpwstr>_Toc37837201</vt:lpwstr>
      </vt:variant>
      <vt:variant>
        <vt:i4>1114172</vt:i4>
      </vt:variant>
      <vt:variant>
        <vt:i4>8</vt:i4>
      </vt:variant>
      <vt:variant>
        <vt:i4>0</vt:i4>
      </vt:variant>
      <vt:variant>
        <vt:i4>5</vt:i4>
      </vt:variant>
      <vt:variant>
        <vt:lpwstr/>
      </vt:variant>
      <vt:variant>
        <vt:lpwstr>_Toc37837200</vt:lpwstr>
      </vt:variant>
      <vt:variant>
        <vt:i4>1769525</vt:i4>
      </vt:variant>
      <vt:variant>
        <vt:i4>2</vt:i4>
      </vt:variant>
      <vt:variant>
        <vt:i4>0</vt:i4>
      </vt:variant>
      <vt:variant>
        <vt:i4>5</vt:i4>
      </vt:variant>
      <vt:variant>
        <vt:lpwstr/>
      </vt:variant>
      <vt:variant>
        <vt:lpwstr>_Toc37837199</vt:lpwstr>
      </vt:variant>
      <vt:variant>
        <vt:i4>3539049</vt:i4>
      </vt:variant>
      <vt:variant>
        <vt:i4>0</vt:i4>
      </vt:variant>
      <vt:variant>
        <vt:i4>0</vt:i4>
      </vt:variant>
      <vt:variant>
        <vt:i4>5</vt:i4>
      </vt:variant>
      <vt:variant>
        <vt:lpwstr>http://www.nntt.gov.au/Maps/QLD_Cape_York_NTDA_Schedule.pdf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Service Provider: Cape York Land Council</dc:title>
  <dc:subject>Summary Report</dc:subject>
  <dc:creator>Nicholas Dillon</dc:creator>
  <cp:keywords/>
  <cp:lastModifiedBy>Cameron, Suzana</cp:lastModifiedBy>
  <cp:revision>39</cp:revision>
  <cp:lastPrinted>2018-02-28T13:12:00Z</cp:lastPrinted>
  <dcterms:created xsi:type="dcterms:W3CDTF">2020-09-08T08:51:00Z</dcterms:created>
  <dcterms:modified xsi:type="dcterms:W3CDTF">2022-01-04T03:38:00Z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36;#Reports|2362088c-9416-420b-887a-88c6ccd422fb</vt:lpwstr>
  </property>
  <property fmtid="{D5CDD505-2E9C-101B-9397-08002B2CF9AE}" pid="5" name="HPRMSecurityLevel">
    <vt:lpwstr>57;#OFFICIAL|11463c70-78df-4e3b-b0ff-f66cd3cb26ec</vt:lpwstr>
  </property>
  <property fmtid="{D5CDD505-2E9C-101B-9397-08002B2CF9AE}" pid="6" name="ESearchTags">
    <vt:lpwstr>29;#Training|2f396fb6-baad-479d-8254-1550153bbe31;#62;#COVID-19|c1da604a-829f-435b-844b-fd97e09d1455;#18;#Cabinet|84cba657-17c1-4642-9e59-a0df180c2be5</vt:lpwstr>
  </property>
  <property fmtid="{D5CDD505-2E9C-101B-9397-08002B2CF9AE}" pid="7" name="PMC.ESearch.TagGeneratedTime">
    <vt:lpwstr>2022-02-23T14:52:38</vt:lpwstr>
  </property>
  <property fmtid="{D5CDD505-2E9C-101B-9397-08002B2CF9AE}" pid="8" name="HPRMSecurityCaveat">
    <vt:lpwstr/>
  </property>
</Properties>
</file>